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pageBreakBefore w:val="0"/>
        <w:pBdr>
          <w:top w:space="0" w:sz="0" w:val="nil"/>
          <w:left w:space="0" w:sz="0" w:val="nil"/>
          <w:bottom w:space="0" w:sz="0" w:val="nil"/>
          <w:right w:space="0" w:sz="0" w:val="nil"/>
          <w:between w:space="0" w:sz="0" w:val="nil"/>
        </w:pBdr>
        <w:shd w:fill="auto" w:val="clear"/>
        <w:spacing w:before="0" w:lineRule="auto"/>
        <w:rPr>
          <w:rFonts w:ascii="Libre Franklin" w:cs="Libre Franklin" w:eastAsia="Libre Franklin" w:hAnsi="Libre Franklin"/>
          <w:b w:val="1"/>
          <w:bCs w:val="1"/>
          <w:color w:val="0033cc"/>
          <w:sz w:val="40"/>
          <w:szCs w:val="40"/>
        </w:rPr>
      </w:pPr>
      <w:bookmarkStart w:colFirst="0" w:colLast="0" w:name="_w0ifmoi7b9a7" w:id="0"/>
      <w:bookmarkEnd w:id="0"/>
      <w:hyperlink r:id="rId6">
        <w:r w:rsidDel="00000000" w:rsidR="00000000" w:rsidRPr="00000000">
          <w:rPr>
            <w:rFonts w:ascii="Libre Franklin" w:cs="Libre Franklin" w:eastAsia="Libre Franklin" w:hAnsi="Libre Franklin"/>
            <w:b w:val="1"/>
            <w:bCs w:val="1"/>
            <w:color w:val="1155cc"/>
            <w:sz w:val="40"/>
            <w:szCs w:val="40"/>
            <w:rtl w:val="0"/>
          </w:rPr>
          <w:t xml:space="preserve">NEWSLETTER: Sexual Assault Law Update</w:t>
        </w:r>
      </w:hyperlink>
      <w:r w:rsidDel="00000000" w:rsidR="00000000" w:rsidRPr="00000000">
        <w:rPr>
          <w:rtl w:val="0"/>
        </w:rPr>
      </w:r>
      <w:r w:rsidDel="00000000" w:rsidR="00000000" w:rsidRPr="00000000">
        <w:drawing>
          <wp:anchor allowOverlap="1" behindDoc="0" distB="114300" distT="91440" distL="114300" distR="484632" hidden="0" layoutInCell="1" locked="0" relativeHeight="0" simplePos="0">
            <wp:simplePos x="0" y="0"/>
            <wp:positionH relativeFrom="column">
              <wp:posOffset>9526</wp:posOffset>
            </wp:positionH>
            <wp:positionV relativeFrom="paragraph">
              <wp:posOffset>91440</wp:posOffset>
            </wp:positionV>
            <wp:extent cx="3390900" cy="790575"/>
            <wp:effectExtent b="0" l="0" r="0" t="0"/>
            <wp:wrapTopAndBottom distB="114300" distT="9144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390900" cy="790575"/>
                    </a:xfrm>
                    <a:prstGeom prst="rect"/>
                    <a:ln/>
                  </pic:spPr>
                </pic:pic>
              </a:graphicData>
            </a:graphic>
          </wp:anchor>
        </w:drawing>
      </w:r>
    </w:p>
    <w:p w:rsidR="00000000" w:rsidDel="00000000" w:rsidP="00000000" w:rsidRDefault="00000000" w:rsidRPr="00000000" w14:paraId="00000002">
      <w:pPr>
        <w:pStyle w:val="Subtitle"/>
        <w:pageBreakBefore w:val="0"/>
        <w:pBdr>
          <w:top w:space="0" w:sz="0" w:val="nil"/>
          <w:left w:space="0" w:sz="0" w:val="nil"/>
          <w:bottom w:space="0" w:sz="0" w:val="nil"/>
          <w:right w:space="0" w:sz="0" w:val="nil"/>
          <w:between w:space="0" w:sz="0" w:val="nil"/>
        </w:pBdr>
        <w:shd w:fill="auto" w:val="clear"/>
        <w:rPr>
          <w:color w:val="d44415"/>
          <w:sz w:val="28"/>
          <w:szCs w:val="28"/>
        </w:rPr>
      </w:pPr>
      <w:bookmarkStart w:colFirst="0" w:colLast="0" w:name="_qi2yc3xrk7l0" w:id="1"/>
      <w:bookmarkEnd w:id="1"/>
      <w:r w:rsidDel="00000000" w:rsidR="00000000" w:rsidRPr="00000000">
        <w:rPr>
          <w:color w:val="d44415"/>
          <w:sz w:val="28"/>
          <w:szCs w:val="28"/>
          <w:rtl w:val="0"/>
        </w:rPr>
        <w:t xml:space="preserve">June 2026</w:t>
      </w:r>
      <w:r w:rsidDel="00000000" w:rsidR="00000000" w:rsidRPr="00000000">
        <w:rPr>
          <w:rtl w:val="0"/>
        </w:rPr>
      </w:r>
    </w:p>
    <w:p w:rsidR="00000000" w:rsidDel="00000000" w:rsidP="00000000" w:rsidRDefault="00000000" w:rsidRPr="00000000" w14:paraId="00000003">
      <w:pPr>
        <w:pStyle w:val="Subtitle"/>
        <w:pageBreakBefore w:val="0"/>
        <w:pBdr>
          <w:top w:space="0" w:sz="0" w:val="nil"/>
          <w:left w:space="0" w:sz="0" w:val="nil"/>
          <w:bottom w:space="0" w:sz="0" w:val="nil"/>
          <w:right w:space="0" w:sz="0" w:val="nil"/>
          <w:between w:space="0" w:sz="0" w:val="nil"/>
        </w:pBdr>
        <w:shd w:fill="auto" w:val="clear"/>
        <w:spacing w:after="100" w:lineRule="auto"/>
        <w:jc w:val="left"/>
        <w:rPr>
          <w:i w:val="1"/>
          <w:iCs w:val="1"/>
          <w:sz w:val="34"/>
          <w:szCs w:val="34"/>
        </w:rPr>
        <w:sectPr>
          <w:headerReference r:id="rId8" w:type="default"/>
          <w:headerReference r:id="rId9" w:type="first"/>
          <w:footerReference r:id="rId10" w:type="first"/>
          <w:pgSz w:h="15840" w:w="12240" w:orient="portrait"/>
          <w:pgMar w:bottom="1008" w:top="1008" w:left="1440" w:right="1440" w:header="0" w:footer="720"/>
          <w:pgNumType w:start="1"/>
          <w:titlePg w:val="1"/>
        </w:sectPr>
      </w:pPr>
      <w:bookmarkStart w:colFirst="0" w:colLast="0" w:name="_f9os6xlvlvwy" w:id="2"/>
      <w:bookmarkEnd w:id="2"/>
      <w:r w:rsidDel="00000000" w:rsidR="00000000" w:rsidRPr="00000000">
        <w:rPr>
          <w:rFonts w:ascii="Libre Franklin" w:cs="Libre Franklin" w:eastAsia="Libre Franklin" w:hAnsi="Libre Franklin"/>
          <w:b w:val="1"/>
          <w:bCs w:val="1"/>
          <w:sz w:val="34"/>
          <w:szCs w:val="34"/>
          <w:rtl w:val="0"/>
        </w:rPr>
        <w:t xml:space="preserve">Supreme Court Guidance on Misuse of </w:t>
      </w:r>
      <w:r w:rsidDel="00000000" w:rsidR="00000000" w:rsidRPr="00000000">
        <w:rPr>
          <w:rFonts w:ascii="Libre Franklin" w:cs="Libre Franklin" w:eastAsia="Libre Franklin" w:hAnsi="Libre Franklin"/>
          <w:b w:val="1"/>
          <w:bCs w:val="1"/>
          <w:i w:val="1"/>
          <w:iCs w:val="1"/>
          <w:sz w:val="34"/>
          <w:szCs w:val="34"/>
          <w:rtl w:val="0"/>
        </w:rPr>
        <w:t xml:space="preserve">R v. J.J.R.D.</w:t>
      </w:r>
      <w:r w:rsidDel="00000000" w:rsidR="00000000" w:rsidRPr="00000000">
        <w:rPr>
          <w:rtl w:val="0"/>
        </w:rPr>
      </w:r>
    </w:p>
    <w:p w:rsidR="00000000" w:rsidDel="00000000" w:rsidP="00000000" w:rsidRDefault="00000000" w:rsidRPr="00000000" w14:paraId="00000004">
      <w:pPr>
        <w:pStyle w:val="Heading2"/>
        <w:pageBreakBefore w:val="0"/>
        <w:pBdr>
          <w:top w:color="000000" w:space="0" w:sz="8" w:val="single"/>
          <w:left w:color="000000" w:space="0" w:sz="8" w:val="single"/>
          <w:bottom w:color="000000" w:space="0" w:sz="8" w:val="single"/>
          <w:right w:color="000000" w:space="0" w:sz="8" w:val="single"/>
          <w:between w:space="0" w:sz="0" w:val="nil"/>
        </w:pBdr>
        <w:shd w:fill="auto" w:val="clear"/>
        <w:spacing w:before="200" w:line="240" w:lineRule="auto"/>
        <w:rPr/>
      </w:pPr>
      <w:bookmarkStart w:colFirst="0" w:colLast="0" w:name="_76527ixgruux" w:id="3"/>
      <w:bookmarkEnd w:id="3"/>
      <w:r w:rsidDel="00000000" w:rsidR="00000000" w:rsidRPr="00000000">
        <w:rPr/>
        <w:drawing>
          <wp:inline distB="114300" distT="114300" distL="114300" distR="114300">
            <wp:extent cx="2719388" cy="1816162"/>
            <wp:effectExtent b="0" l="0" r="0" t="0"/>
            <wp:docPr id="7" name="image2.jpg"/>
            <a:graphic>
              <a:graphicData uri="http://schemas.openxmlformats.org/drawingml/2006/picture">
                <pic:pic>
                  <pic:nvPicPr>
                    <pic:cNvPr id="0" name="image2.jpg"/>
                    <pic:cNvPicPr preferRelativeResize="0"/>
                  </pic:nvPicPr>
                  <pic:blipFill>
                    <a:blip r:embed="rId11"/>
                    <a:srcRect b="0" l="7904" r="7904" t="0"/>
                    <a:stretch>
                      <a:fillRect/>
                    </a:stretch>
                  </pic:blipFill>
                  <pic:spPr>
                    <a:xfrm>
                      <a:off x="0" y="0"/>
                      <a:ext cx="2719388" cy="1816162"/>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pStyle w:val="Heading2"/>
        <w:spacing w:after="160" w:before="100" w:line="240" w:lineRule="auto"/>
        <w:rPr>
          <w:sz w:val="30"/>
          <w:szCs w:val="30"/>
        </w:rPr>
      </w:pPr>
      <w:bookmarkStart w:colFirst="0" w:colLast="0" w:name="_ammivgdj67fz" w:id="4"/>
      <w:bookmarkEnd w:id="4"/>
      <w:r w:rsidDel="00000000" w:rsidR="00000000" w:rsidRPr="00000000">
        <w:rPr>
          <w:color w:val="000000"/>
          <w:sz w:val="26"/>
          <w:szCs w:val="26"/>
          <w:rtl w:val="0"/>
        </w:rPr>
        <w:t xml:space="preserve">Restoring </w:t>
      </w:r>
      <w:r w:rsidDel="00000000" w:rsidR="00000000" w:rsidRPr="00000000">
        <w:rPr>
          <w:i w:val="1"/>
          <w:iCs w:val="1"/>
          <w:color w:val="000000"/>
          <w:sz w:val="26"/>
          <w:szCs w:val="26"/>
          <w:rtl w:val="0"/>
        </w:rPr>
        <w:t xml:space="preserve">W.(D.)</w:t>
      </w:r>
      <w:r w:rsidDel="00000000" w:rsidR="00000000" w:rsidRPr="00000000">
        <w:rPr>
          <w:color w:val="000000"/>
          <w:sz w:val="26"/>
          <w:szCs w:val="26"/>
          <w:rtl w:val="0"/>
        </w:rPr>
        <w:t xml:space="preserve"> Standards</w:t>
      </w:r>
      <w:r w:rsidDel="00000000" w:rsidR="00000000" w:rsidRPr="00000000">
        <w:rPr>
          <w:rtl w:val="0"/>
        </w:rPr>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color w:val="000000"/>
          <w:rtl w:val="0"/>
        </w:rPr>
        <w:t xml:space="preserve">In the recent decision of </w:t>
      </w:r>
      <w:r w:rsidDel="00000000" w:rsidR="00000000" w:rsidRPr="00000000">
        <w:rPr>
          <w:i w:val="1"/>
          <w:iCs w:val="1"/>
          <w:color w:val="000000"/>
          <w:rtl w:val="0"/>
        </w:rPr>
        <w:t xml:space="preserve">R. v. Berg</w:t>
      </w:r>
      <w:r w:rsidDel="00000000" w:rsidR="00000000" w:rsidRPr="00000000">
        <w:rPr>
          <w:color w:val="000000"/>
          <w:rtl w:val="0"/>
        </w:rPr>
        <w:t xml:space="preserve">, 2026 SCC 21 the Supreme Court took the opportunity to guide the lower courts and correct errors that have arisen from the decision in </w:t>
      </w:r>
      <w:r w:rsidDel="00000000" w:rsidR="00000000" w:rsidRPr="00000000">
        <w:rPr>
          <w:i w:val="1"/>
          <w:iCs w:val="1"/>
          <w:color w:val="000000"/>
          <w:rtl w:val="0"/>
        </w:rPr>
        <w:t xml:space="preserve">R. v. J.J.R.D.</w:t>
      </w:r>
      <w:r w:rsidDel="00000000" w:rsidR="00000000" w:rsidRPr="00000000">
        <w:rPr>
          <w:color w:val="000000"/>
          <w:rtl w:val="0"/>
        </w:rPr>
        <w:t xml:space="preserve"> (2006), 2006 CanLII 40088 (ON CA), 218 O.A.C. 37.</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rtl w:val="0"/>
        </w:rPr>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color w:val="000000"/>
          <w:rtl w:val="0"/>
        </w:rPr>
        <w:t xml:space="preserve">Since 2006, the </w:t>
      </w:r>
      <w:r w:rsidDel="00000000" w:rsidR="00000000" w:rsidRPr="00000000">
        <w:rPr>
          <w:i w:val="1"/>
          <w:iCs w:val="1"/>
          <w:color w:val="000000"/>
          <w:rtl w:val="0"/>
        </w:rPr>
        <w:t xml:space="preserve">J.J.R.D.</w:t>
      </w:r>
      <w:r w:rsidDel="00000000" w:rsidR="00000000" w:rsidRPr="00000000">
        <w:rPr>
          <w:color w:val="000000"/>
          <w:rtl w:val="0"/>
        </w:rPr>
        <w:t xml:space="preserve"> decision has played a prominent role in the way trial judges assess the burden of proof primarily in sexual assault cases. In many cases it has altered the standard of the </w:t>
      </w:r>
      <w:r w:rsidDel="00000000" w:rsidR="00000000" w:rsidRPr="00000000">
        <w:rPr>
          <w:i w:val="1"/>
          <w:iCs w:val="1"/>
          <w:color w:val="000000"/>
          <w:rtl w:val="0"/>
        </w:rPr>
        <w:t xml:space="preserve">W.(D.) </w:t>
      </w:r>
      <w:r w:rsidDel="00000000" w:rsidR="00000000" w:rsidRPr="00000000">
        <w:rPr>
          <w:color w:val="000000"/>
          <w:rtl w:val="0"/>
        </w:rPr>
        <w:t xml:space="preserve">analysis and moved dangerously close to choosing between conflicting testimony. </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rtl w:val="0"/>
        </w:rPr>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color w:val="000000"/>
          <w:rtl w:val="0"/>
        </w:rPr>
        <w:t xml:space="preserve">Though the Supreme Court upheld the conviction in </w:t>
      </w:r>
      <w:r w:rsidDel="00000000" w:rsidR="00000000" w:rsidRPr="00000000">
        <w:rPr>
          <w:i w:val="1"/>
          <w:iCs w:val="1"/>
          <w:color w:val="000000"/>
          <w:rtl w:val="0"/>
        </w:rPr>
        <w:t xml:space="preserve">Berg</w:t>
      </w:r>
      <w:r w:rsidDel="00000000" w:rsidR="00000000" w:rsidRPr="00000000">
        <w:rPr>
          <w:color w:val="000000"/>
          <w:rtl w:val="0"/>
        </w:rPr>
        <w:t xml:space="preserve">, they took the opportunity to clarify that the </w:t>
      </w:r>
      <w:r w:rsidDel="00000000" w:rsidR="00000000" w:rsidRPr="00000000">
        <w:rPr>
          <w:i w:val="1"/>
          <w:iCs w:val="1"/>
          <w:color w:val="000000"/>
          <w:rtl w:val="0"/>
        </w:rPr>
        <w:t xml:space="preserve">J.J.R.D.</w:t>
      </w:r>
      <w:r w:rsidDel="00000000" w:rsidR="00000000" w:rsidRPr="00000000">
        <w:rPr>
          <w:color w:val="000000"/>
          <w:rtl w:val="0"/>
        </w:rPr>
        <w:t xml:space="preserve"> decision was strictly related to appellate courts and whether the trial judge had provided sufficient reasons.</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rtl w:val="0"/>
        </w:rPr>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color w:val="000000"/>
          <w:rtl w:val="0"/>
        </w:rPr>
        <w:t xml:space="preserve">Since the </w:t>
      </w:r>
      <w:r w:rsidDel="00000000" w:rsidR="00000000" w:rsidRPr="00000000">
        <w:rPr>
          <w:i w:val="1"/>
          <w:iCs w:val="1"/>
          <w:color w:val="000000"/>
          <w:rtl w:val="0"/>
        </w:rPr>
        <w:t xml:space="preserve">J.J.R.D.</w:t>
      </w:r>
      <w:r w:rsidDel="00000000" w:rsidR="00000000" w:rsidRPr="00000000">
        <w:rPr>
          <w:color w:val="000000"/>
          <w:rtl w:val="0"/>
        </w:rPr>
        <w:t xml:space="preserve"> decision, trial judges commonly referenced that decision while engaging in their </w:t>
      </w:r>
      <w:r w:rsidDel="00000000" w:rsidR="00000000" w:rsidRPr="00000000">
        <w:rPr>
          <w:i w:val="1"/>
          <w:iCs w:val="1"/>
          <w:color w:val="000000"/>
          <w:rtl w:val="0"/>
        </w:rPr>
        <w:t xml:space="preserve">W.(D.)</w:t>
      </w:r>
      <w:r w:rsidDel="00000000" w:rsidR="00000000" w:rsidRPr="00000000">
        <w:rPr>
          <w:color w:val="000000"/>
          <w:rtl w:val="0"/>
        </w:rPr>
        <w:t xml:space="preserve"> analyses. The potential error is related to whether or not the </w:t>
      </w:r>
      <w:r w:rsidDel="00000000" w:rsidR="00000000" w:rsidRPr="00000000">
        <w:rPr>
          <w:i w:val="1"/>
          <w:iCs w:val="1"/>
          <w:color w:val="000000"/>
          <w:rtl w:val="0"/>
        </w:rPr>
        <w:t xml:space="preserve">J.J.R.D.</w:t>
      </w:r>
      <w:r w:rsidDel="00000000" w:rsidR="00000000" w:rsidRPr="00000000">
        <w:rPr>
          <w:color w:val="000000"/>
          <w:rtl w:val="0"/>
        </w:rPr>
        <w:t xml:space="preserve"> decision allowed for an accused to be convicted based solely on believing the evidence of a complainant.</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rtl w:val="0"/>
        </w:rPr>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720" w:firstLine="0"/>
        <w:jc w:val="both"/>
        <w:rPr>
          <w:color w:val="000000"/>
        </w:rPr>
      </w:pPr>
      <w:r w:rsidDel="00000000" w:rsidR="00000000" w:rsidRPr="00000000">
        <w:rPr>
          <w:color w:val="000000"/>
          <w:rtl w:val="0"/>
        </w:rPr>
        <w:t xml:space="preserve">As a general rule, trial judges should not rely on </w:t>
      </w:r>
      <w:r w:rsidDel="00000000" w:rsidR="00000000" w:rsidRPr="00000000">
        <w:rPr>
          <w:i w:val="1"/>
          <w:iCs w:val="1"/>
          <w:color w:val="000000"/>
          <w:rtl w:val="0"/>
        </w:rPr>
        <w:t xml:space="preserve">J.J.R.D.</w:t>
      </w:r>
      <w:r w:rsidDel="00000000" w:rsidR="00000000" w:rsidRPr="00000000">
        <w:rPr>
          <w:color w:val="000000"/>
          <w:rtl w:val="0"/>
        </w:rPr>
        <w:t xml:space="preserve"> when structuring their </w:t>
      </w:r>
      <w:r w:rsidDel="00000000" w:rsidR="00000000" w:rsidRPr="00000000">
        <w:rPr>
          <w:i w:val="1"/>
          <w:iCs w:val="1"/>
          <w:color w:val="000000"/>
          <w:rtl w:val="0"/>
        </w:rPr>
        <w:t xml:space="preserve">W. (D.)</w:t>
      </w:r>
      <w:r w:rsidDel="00000000" w:rsidR="00000000" w:rsidRPr="00000000">
        <w:rPr>
          <w:color w:val="000000"/>
          <w:rtl w:val="0"/>
        </w:rPr>
        <w:t xml:space="preserve"> analyses or when providing </w:t>
      </w:r>
      <w:r w:rsidDel="00000000" w:rsidR="00000000" w:rsidRPr="00000000">
        <w:rPr>
          <w:i w:val="1"/>
          <w:iCs w:val="1"/>
          <w:color w:val="000000"/>
          <w:rtl w:val="0"/>
        </w:rPr>
        <w:t xml:space="preserve">W. (D.)</w:t>
      </w:r>
      <w:r w:rsidDel="00000000" w:rsidR="00000000" w:rsidRPr="00000000">
        <w:rPr>
          <w:color w:val="000000"/>
          <w:rtl w:val="0"/>
        </w:rPr>
        <w:t xml:space="preserve"> directions to a jury. </w:t>
      </w:r>
      <w:r w:rsidDel="00000000" w:rsidR="00000000" w:rsidRPr="00000000">
        <w:rPr>
          <w:i w:val="1"/>
          <w:iCs w:val="1"/>
          <w:color w:val="000000"/>
          <w:rtl w:val="0"/>
        </w:rPr>
        <w:t xml:space="preserve">J.J.R.D.</w:t>
      </w:r>
      <w:r w:rsidDel="00000000" w:rsidR="00000000" w:rsidRPr="00000000">
        <w:rPr>
          <w:color w:val="000000"/>
          <w:rtl w:val="0"/>
        </w:rPr>
        <w:t xml:space="preserve"> is a case about appellate review for sufficiency of reasons and it does not purport to set out a formula for performing a </w:t>
      </w:r>
      <w:r w:rsidDel="00000000" w:rsidR="00000000" w:rsidRPr="00000000">
        <w:rPr>
          <w:i w:val="1"/>
          <w:iCs w:val="1"/>
          <w:color w:val="000000"/>
          <w:rtl w:val="0"/>
        </w:rPr>
        <w:t xml:space="preserve">W. (D.)</w:t>
      </w:r>
      <w:r w:rsidDel="00000000" w:rsidR="00000000" w:rsidRPr="00000000">
        <w:rPr>
          <w:color w:val="000000"/>
          <w:rtl w:val="0"/>
        </w:rPr>
        <w:t xml:space="preserve"> analysis. It was intended to apply to appellate review of trial decisions when assessing whether the trial judge’s reasons were sufficient to permit appellate review, not to be applied by trial judges themselves.</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rtl w:val="0"/>
        </w:rPr>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color w:val="000000"/>
          <w:rtl w:val="0"/>
        </w:rPr>
        <w:t xml:space="preserve">They positively cite Paciocco J.A. in </w:t>
      </w:r>
      <w:r w:rsidDel="00000000" w:rsidR="00000000" w:rsidRPr="00000000">
        <w:rPr>
          <w:i w:val="1"/>
          <w:iCs w:val="1"/>
          <w:color w:val="000000"/>
          <w:rtl w:val="0"/>
        </w:rPr>
        <w:t xml:space="preserve">R. v. C.L</w:t>
      </w:r>
      <w:r w:rsidDel="00000000" w:rsidR="00000000" w:rsidRPr="00000000">
        <w:rPr>
          <w:color w:val="000000"/>
          <w:rtl w:val="0"/>
        </w:rPr>
        <w:t xml:space="preserve">., 2020 ONCA 258, 387 C.C.C. (3d) 39, at para. 32, when he observed:</w:t>
      </w:r>
      <w:r w:rsidDel="00000000" w:rsidR="00000000" w:rsidRPr="00000000">
        <w:rPr>
          <w:rtl w:val="0"/>
        </w:rPr>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rtl w:val="0"/>
        </w:rPr>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720" w:firstLine="0"/>
        <w:jc w:val="both"/>
        <w:rPr>
          <w:color w:val="000000"/>
        </w:rPr>
      </w:pPr>
      <w:r w:rsidDel="00000000" w:rsidR="00000000" w:rsidRPr="00000000">
        <w:rPr>
          <w:color w:val="000000"/>
          <w:rtl w:val="0"/>
        </w:rPr>
        <w:t xml:space="preserve">. . . </w:t>
      </w:r>
      <w:r w:rsidDel="00000000" w:rsidR="00000000" w:rsidRPr="00000000">
        <w:rPr>
          <w:i w:val="1"/>
          <w:iCs w:val="1"/>
          <w:color w:val="000000"/>
          <w:rtl w:val="0"/>
        </w:rPr>
        <w:t xml:space="preserve">D. (J.J.R.)</w:t>
      </w:r>
      <w:r w:rsidDel="00000000" w:rsidR="00000000" w:rsidRPr="00000000">
        <w:rPr>
          <w:color w:val="000000"/>
          <w:rtl w:val="0"/>
        </w:rPr>
        <w:t xml:space="preserve"> was a sufficiency of reasons case. It was not a jury instruction case, nor even a case about the content of the </w:t>
      </w:r>
      <w:r w:rsidDel="00000000" w:rsidR="00000000" w:rsidRPr="00000000">
        <w:rPr>
          <w:i w:val="1"/>
          <w:iCs w:val="1"/>
          <w:color w:val="000000"/>
          <w:rtl w:val="0"/>
        </w:rPr>
        <w:t xml:space="preserve">W. (D.)</w:t>
      </w:r>
      <w:r w:rsidDel="00000000" w:rsidR="00000000" w:rsidRPr="00000000">
        <w:rPr>
          <w:color w:val="000000"/>
          <w:rtl w:val="0"/>
        </w:rPr>
        <w:t xml:space="preserve"> formula. The issue was whether the reasons given by a trial judge, sitting alone, were sufficient to permit effective appellate review: see </w:t>
      </w:r>
      <w:r w:rsidDel="00000000" w:rsidR="00000000" w:rsidRPr="00000000">
        <w:rPr>
          <w:i w:val="1"/>
          <w:iCs w:val="1"/>
          <w:color w:val="000000"/>
          <w:rtl w:val="0"/>
        </w:rPr>
        <w:t xml:space="preserve">D. (J.J.R.)</w:t>
      </w:r>
      <w:r w:rsidDel="00000000" w:rsidR="00000000" w:rsidRPr="00000000">
        <w:rPr>
          <w:color w:val="000000"/>
          <w:rtl w:val="0"/>
        </w:rPr>
        <w:t xml:space="preserve">, at paras. 1-2. That is why Doherty J.A. describes “a considered and reasoned acceptance . . . of the truth of conflicting credible evidence” as an “explanation for the rejection of an accused’s evidence”. The case is about whether the trial judge explained the conviction by offering a considered and reasoned basis . . . . It does not purport to offer a formula for overcoming facially unassailable exculpatory evidence. [Emphasis deleted.]</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720" w:firstLine="0"/>
        <w:jc w:val="both"/>
        <w:rPr>
          <w:color w:val="000000"/>
        </w:rPr>
      </w:pPr>
      <w:r w:rsidDel="00000000" w:rsidR="00000000" w:rsidRPr="00000000">
        <w:rPr>
          <w:rtl w:val="0"/>
        </w:rPr>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color w:val="000000"/>
          <w:rtl w:val="0"/>
        </w:rPr>
        <w:t xml:space="preserve">The danger of misapplying the </w:t>
      </w:r>
      <w:r w:rsidDel="00000000" w:rsidR="00000000" w:rsidRPr="00000000">
        <w:rPr>
          <w:i w:val="1"/>
          <w:iCs w:val="1"/>
          <w:color w:val="000000"/>
          <w:rtl w:val="0"/>
        </w:rPr>
        <w:t xml:space="preserve">J.J.R.D.</w:t>
      </w:r>
      <w:r w:rsidDel="00000000" w:rsidR="00000000" w:rsidRPr="00000000">
        <w:rPr>
          <w:color w:val="000000"/>
          <w:rtl w:val="0"/>
        </w:rPr>
        <w:t xml:space="preserve"> decision at trial was more fulsomely explained in </w:t>
      </w:r>
      <w:r w:rsidDel="00000000" w:rsidR="00000000" w:rsidRPr="00000000">
        <w:rPr>
          <w:i w:val="1"/>
          <w:iCs w:val="1"/>
          <w:color w:val="000000"/>
          <w:rtl w:val="0"/>
        </w:rPr>
        <w:t xml:space="preserve">Berg</w:t>
      </w:r>
      <w:r w:rsidDel="00000000" w:rsidR="00000000" w:rsidRPr="00000000">
        <w:rPr>
          <w:color w:val="000000"/>
          <w:rtl w:val="0"/>
        </w:rPr>
        <w:t xml:space="preserve">:</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rtl w:val="0"/>
        </w:rPr>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720" w:firstLine="0"/>
        <w:jc w:val="both"/>
        <w:rPr>
          <w:color w:val="000000"/>
        </w:rPr>
      </w:pPr>
      <w:r w:rsidDel="00000000" w:rsidR="00000000" w:rsidRPr="00000000">
        <w:rPr>
          <w:color w:val="000000"/>
          <w:rtl w:val="0"/>
        </w:rPr>
        <w:t xml:space="preserve">When invoked in a trial setting, </w:t>
      </w:r>
      <w:r w:rsidDel="00000000" w:rsidR="00000000" w:rsidRPr="00000000">
        <w:rPr>
          <w:i w:val="1"/>
          <w:iCs w:val="1"/>
          <w:color w:val="000000"/>
          <w:rtl w:val="0"/>
        </w:rPr>
        <w:t xml:space="preserve">J.J.R.D.</w:t>
      </w:r>
      <w:r w:rsidDel="00000000" w:rsidR="00000000" w:rsidRPr="00000000">
        <w:rPr>
          <w:color w:val="000000"/>
          <w:rtl w:val="0"/>
        </w:rPr>
        <w:t xml:space="preserve"> may mislead the trier of fact to think that they may reject the accused’s account solely based on a “considered and reasoned” acceptance of the complainant’s testimony. This raises the spectre of turning trials into credibility contests — the very error </w:t>
      </w:r>
      <w:r w:rsidDel="00000000" w:rsidR="00000000" w:rsidRPr="00000000">
        <w:rPr>
          <w:i w:val="1"/>
          <w:iCs w:val="1"/>
          <w:color w:val="000000"/>
          <w:rtl w:val="0"/>
        </w:rPr>
        <w:t xml:space="preserve">W. (D.)</w:t>
      </w:r>
      <w:r w:rsidDel="00000000" w:rsidR="00000000" w:rsidRPr="00000000">
        <w:rPr>
          <w:color w:val="000000"/>
          <w:rtl w:val="0"/>
        </w:rPr>
        <w:t xml:space="preserve"> was designed to prevent. The presumption of innocence means that a guilty verdict cannot rest only on whether the trier of fact believes the Crown’s evidence or finds it more plausible. [Citations omitted]</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720" w:firstLine="0"/>
        <w:jc w:val="both"/>
        <w:rPr>
          <w:color w:val="000000"/>
        </w:rPr>
      </w:pPr>
      <w:r w:rsidDel="00000000" w:rsidR="00000000" w:rsidRPr="00000000">
        <w:rPr>
          <w:rtl w:val="0"/>
        </w:rPr>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i w:val="1"/>
          <w:iCs w:val="1"/>
          <w:color w:val="000000"/>
        </w:rPr>
      </w:pPr>
      <w:r w:rsidDel="00000000" w:rsidR="00000000" w:rsidRPr="00000000">
        <w:rPr>
          <w:color w:val="000000"/>
          <w:rtl w:val="0"/>
        </w:rPr>
        <w:t xml:space="preserve">The Supreme Court included numerous examples from appellate courts which found the </w:t>
      </w:r>
      <w:r w:rsidDel="00000000" w:rsidR="00000000" w:rsidRPr="00000000">
        <w:rPr>
          <w:i w:val="1"/>
          <w:iCs w:val="1"/>
          <w:color w:val="000000"/>
          <w:rtl w:val="0"/>
        </w:rPr>
        <w:t xml:space="preserve">J.J.R.D.</w:t>
      </w:r>
      <w:r w:rsidDel="00000000" w:rsidR="00000000" w:rsidRPr="00000000">
        <w:rPr>
          <w:color w:val="000000"/>
          <w:rtl w:val="0"/>
        </w:rPr>
        <w:t xml:space="preserve"> case was erroneously used by trial judges to override the principles of</w:t>
      </w:r>
      <w:r w:rsidDel="00000000" w:rsidR="00000000" w:rsidRPr="00000000">
        <w:rPr>
          <w:i w:val="1"/>
          <w:iCs w:val="1"/>
          <w:color w:val="000000"/>
          <w:rtl w:val="0"/>
        </w:rPr>
        <w:t xml:space="preserve"> W.(D.).</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rtl w:val="0"/>
        </w:rPr>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color w:val="000000"/>
          <w:rtl w:val="0"/>
        </w:rPr>
        <w:t xml:space="preserve">This is important guidance from the Supreme Court as </w:t>
      </w:r>
      <w:r w:rsidDel="00000000" w:rsidR="00000000" w:rsidRPr="00000000">
        <w:rPr>
          <w:i w:val="1"/>
          <w:iCs w:val="1"/>
          <w:color w:val="000000"/>
          <w:rtl w:val="0"/>
        </w:rPr>
        <w:t xml:space="preserve">J.J.R.D.</w:t>
      </w:r>
      <w:r w:rsidDel="00000000" w:rsidR="00000000" w:rsidRPr="00000000">
        <w:rPr>
          <w:color w:val="000000"/>
          <w:rtl w:val="0"/>
        </w:rPr>
        <w:t xml:space="preserve"> has become a common consideration by trial judges in sexual assault cases since the decision in 2006. It has become regular practice for the Crown to argue that an accused can be convicted even when their testimony and evidence had merit solely based on a complainant’s testimony being more compelling.</w:t>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rtl w:val="0"/>
        </w:rPr>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color w:val="000000"/>
          <w:rtl w:val="0"/>
        </w:rPr>
        <w:t xml:space="preserve">This type of impermissible credibility contest has become more common and nuanced since the </w:t>
      </w:r>
      <w:r w:rsidDel="00000000" w:rsidR="00000000" w:rsidRPr="00000000">
        <w:rPr>
          <w:i w:val="1"/>
          <w:iCs w:val="1"/>
          <w:color w:val="000000"/>
          <w:rtl w:val="0"/>
        </w:rPr>
        <w:t xml:space="preserve">J.J.R.D.</w:t>
      </w:r>
      <w:r w:rsidDel="00000000" w:rsidR="00000000" w:rsidRPr="00000000">
        <w:rPr>
          <w:color w:val="000000"/>
          <w:rtl w:val="0"/>
        </w:rPr>
        <w:t xml:space="preserve"> decision and undermined the burden of proof in sexual assault cases.</w:t>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rtl w:val="0"/>
        </w:rPr>
      </w:r>
    </w:p>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color w:val="000000"/>
          <w:rtl w:val="0"/>
        </w:rPr>
        <w:t xml:space="preserve">To be clear, the </w:t>
      </w:r>
      <w:r w:rsidDel="00000000" w:rsidR="00000000" w:rsidRPr="00000000">
        <w:rPr>
          <w:i w:val="1"/>
          <w:iCs w:val="1"/>
          <w:color w:val="000000"/>
          <w:rtl w:val="0"/>
        </w:rPr>
        <w:t xml:space="preserve">Berg</w:t>
      </w:r>
      <w:r w:rsidDel="00000000" w:rsidR="00000000" w:rsidRPr="00000000">
        <w:rPr>
          <w:color w:val="000000"/>
          <w:rtl w:val="0"/>
        </w:rPr>
        <w:t xml:space="preserve"> decision continues to allow for trial judges to reject an accused’s evidence based on acceptance of the conflicting evidence but it must be explained why the evidence that is accepted met the high standards of the burden of proof and reasonable doubt.</w:t>
      </w:r>
    </w:p>
    <w:p w:rsidR="00000000" w:rsidDel="00000000" w:rsidP="00000000" w:rsidRDefault="00000000" w:rsidRPr="00000000" w14:paraId="0000001F">
      <w:pPr>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rtl w:val="0"/>
        </w:rPr>
      </w:r>
    </w:p>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color w:val="000000"/>
          <w:rtl w:val="0"/>
        </w:rPr>
        <w:t xml:space="preserve">The Supreme Court specifically clarified that “proof beyond a reasonable doubt demands more than a ‘considered and reasoned acceptance’ of the complainant’s evidence.” Trial judges must grapple with the whole of the evidence and properly explain their conclusions about what evidence they accept.</w:t>
      </w:r>
    </w:p>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rtl w:val="0"/>
        </w:rPr>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color w:val="000000"/>
          <w:rtl w:val="0"/>
        </w:rPr>
        <w:t xml:space="preserve">The decision in </w:t>
      </w:r>
      <w:r w:rsidDel="00000000" w:rsidR="00000000" w:rsidRPr="00000000">
        <w:rPr>
          <w:i w:val="1"/>
          <w:iCs w:val="1"/>
          <w:color w:val="000000"/>
          <w:rtl w:val="0"/>
        </w:rPr>
        <w:t xml:space="preserve">Berg</w:t>
      </w:r>
      <w:r w:rsidDel="00000000" w:rsidR="00000000" w:rsidRPr="00000000">
        <w:rPr>
          <w:color w:val="000000"/>
          <w:rtl w:val="0"/>
        </w:rPr>
        <w:t xml:space="preserve"> comes as long overdue guidance for the lower courts since the </w:t>
      </w:r>
      <w:r w:rsidDel="00000000" w:rsidR="00000000" w:rsidRPr="00000000">
        <w:rPr>
          <w:i w:val="1"/>
          <w:iCs w:val="1"/>
          <w:color w:val="000000"/>
          <w:rtl w:val="0"/>
        </w:rPr>
        <w:t xml:space="preserve">J.J.R.D.</w:t>
      </w:r>
      <w:r w:rsidDel="00000000" w:rsidR="00000000" w:rsidRPr="00000000">
        <w:rPr>
          <w:color w:val="000000"/>
          <w:rtl w:val="0"/>
        </w:rPr>
        <w:t xml:space="preserve"> decision was issued twenty years earlier. Believing a complainant does not equate to meeting the burden of proof for a conviction. </w:t>
      </w:r>
    </w:p>
    <w:p w:rsidR="00000000" w:rsidDel="00000000" w:rsidP="00000000" w:rsidRDefault="00000000" w:rsidRPr="00000000" w14:paraId="00000023">
      <w:pPr>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rtl w:val="0"/>
        </w:rPr>
      </w:r>
    </w:p>
    <w:p w:rsidR="00000000" w:rsidDel="00000000" w:rsidP="00000000" w:rsidRDefault="00000000" w:rsidRPr="00000000" w14:paraId="00000024">
      <w:pPr>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color w:val="000000"/>
          <w:rtl w:val="0"/>
        </w:rPr>
        <w:t xml:space="preserve">This decision will play a pivotal role in upcoming appeals and will certainly affect closing submissions in sexual assault trials going forward.</w:t>
      </w:r>
    </w:p>
    <w:p w:rsidR="00000000" w:rsidDel="00000000" w:rsidP="00000000" w:rsidRDefault="00000000" w:rsidRPr="00000000" w14:paraId="00000025">
      <w:pPr>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rtl w:val="0"/>
        </w:rPr>
      </w:r>
    </w:p>
    <w:p w:rsidR="00000000" w:rsidDel="00000000" w:rsidP="00000000" w:rsidRDefault="00000000" w:rsidRPr="00000000" w14:paraId="00000026">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color w:val="000000"/>
        </w:rPr>
        <w:drawing>
          <wp:inline distB="114300" distT="114300" distL="114300" distR="114300">
            <wp:extent cx="2743200" cy="1828800"/>
            <wp:effectExtent b="0" l="0" r="0" t="0"/>
            <wp:docPr id="5"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2743200" cy="1828800"/>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pStyle w:val="Heading2"/>
        <w:spacing w:after="160" w:before="100" w:line="240" w:lineRule="auto"/>
        <w:rPr>
          <w:sz w:val="24"/>
          <w:szCs w:val="24"/>
        </w:rPr>
      </w:pPr>
      <w:bookmarkStart w:colFirst="0" w:colLast="0" w:name="_bwa53yim94v9" w:id="5"/>
      <w:bookmarkEnd w:id="5"/>
      <w:r w:rsidDel="00000000" w:rsidR="00000000" w:rsidRPr="00000000">
        <w:rPr>
          <w:color w:val="000000"/>
          <w:sz w:val="24"/>
          <w:szCs w:val="24"/>
          <w:rtl w:val="0"/>
        </w:rPr>
        <w:t xml:space="preserve">Mental Illness May Affect Complainant Credibility Assessments</w:t>
      </w:r>
      <w:r w:rsidDel="00000000" w:rsidR="00000000" w:rsidRPr="00000000">
        <w:rPr>
          <w:rtl w:val="0"/>
        </w:rPr>
      </w:r>
    </w:p>
    <w:p w:rsidR="00000000" w:rsidDel="00000000" w:rsidP="00000000" w:rsidRDefault="00000000" w:rsidRPr="00000000" w14:paraId="00000028">
      <w:pPr>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color w:val="000000"/>
          <w:rtl w:val="0"/>
        </w:rPr>
        <w:t xml:space="preserve">Though mental illness should not render a complainant’s testimony unreliable or lacking credibility solely due to the presence of mental illness, the recent decision in </w:t>
      </w:r>
      <w:r w:rsidDel="00000000" w:rsidR="00000000" w:rsidRPr="00000000">
        <w:rPr>
          <w:i w:val="1"/>
          <w:iCs w:val="1"/>
          <w:color w:val="000000"/>
          <w:rtl w:val="0"/>
        </w:rPr>
        <w:t xml:space="preserve">R. v. C.P.</w:t>
      </w:r>
      <w:r w:rsidDel="00000000" w:rsidR="00000000" w:rsidRPr="00000000">
        <w:rPr>
          <w:color w:val="000000"/>
          <w:rtl w:val="0"/>
        </w:rPr>
        <w:t xml:space="preserve">, 2026 ONCA 333 clarified that it may be a relevant factor.</w:t>
      </w:r>
    </w:p>
    <w:p w:rsidR="00000000" w:rsidDel="00000000" w:rsidP="00000000" w:rsidRDefault="00000000" w:rsidRPr="00000000" w14:paraId="00000029">
      <w:pPr>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rtl w:val="0"/>
        </w:rPr>
      </w:r>
    </w:p>
    <w:p w:rsidR="00000000" w:rsidDel="00000000" w:rsidP="00000000" w:rsidRDefault="00000000" w:rsidRPr="00000000" w14:paraId="0000002A">
      <w:pPr>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color w:val="000000"/>
          <w:rtl w:val="0"/>
        </w:rPr>
        <w:t xml:space="preserve">The Ontario Court of Appeal denied the Crown’s appeal on acquittals. The Crown unsuccessfully argued that the trial judge had improperly used myths and stereotypes about people who live with mental illness and that he had not considered the evidence as a whole.</w:t>
      </w:r>
    </w:p>
    <w:p w:rsidR="00000000" w:rsidDel="00000000" w:rsidP="00000000" w:rsidRDefault="00000000" w:rsidRPr="00000000" w14:paraId="0000002B">
      <w:pPr>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rtl w:val="0"/>
        </w:rPr>
      </w:r>
    </w:p>
    <w:p w:rsidR="00000000" w:rsidDel="00000000" w:rsidP="00000000" w:rsidRDefault="00000000" w:rsidRPr="00000000" w14:paraId="0000002C">
      <w:pPr>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color w:val="000000"/>
          <w:rtl w:val="0"/>
        </w:rPr>
        <w:t xml:space="preserve">In </w:t>
      </w:r>
      <w:r w:rsidDel="00000000" w:rsidR="00000000" w:rsidRPr="00000000">
        <w:rPr>
          <w:i w:val="1"/>
          <w:iCs w:val="1"/>
          <w:color w:val="000000"/>
          <w:rtl w:val="0"/>
        </w:rPr>
        <w:t xml:space="preserve">C.P.</w:t>
      </w:r>
      <w:r w:rsidDel="00000000" w:rsidR="00000000" w:rsidRPr="00000000">
        <w:rPr>
          <w:color w:val="000000"/>
          <w:rtl w:val="0"/>
        </w:rPr>
        <w:t xml:space="preserve">, the complainant admitted to experiencing hallucinations and delusions. She had also been heavily using street drugs at the relevant time. Her mother and brother were also defence witnesses that the complainant had been observed experiencing hallucinations and speaking to people who were not present.</w:t>
      </w:r>
    </w:p>
    <w:p w:rsidR="00000000" w:rsidDel="00000000" w:rsidP="00000000" w:rsidRDefault="00000000" w:rsidRPr="00000000" w14:paraId="0000002D">
      <w:pPr>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rtl w:val="0"/>
        </w:rPr>
      </w:r>
    </w:p>
    <w:p w:rsidR="00000000" w:rsidDel="00000000" w:rsidP="00000000" w:rsidRDefault="00000000" w:rsidRPr="00000000" w14:paraId="0000002E">
      <w:pPr>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color w:val="000000"/>
          <w:rtl w:val="0"/>
        </w:rPr>
        <w:t xml:space="preserve">In rejecting the myths and stereotypes argument, the Court clarified that credibility and reliability concerns related to mental health issues must be “case-specific evidence.” </w:t>
      </w:r>
    </w:p>
    <w:p w:rsidR="00000000" w:rsidDel="00000000" w:rsidP="00000000" w:rsidRDefault="00000000" w:rsidRPr="00000000" w14:paraId="0000002F">
      <w:pPr>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rtl w:val="0"/>
        </w:rPr>
      </w:r>
    </w:p>
    <w:p w:rsidR="00000000" w:rsidDel="00000000" w:rsidP="00000000" w:rsidRDefault="00000000" w:rsidRPr="00000000" w14:paraId="00000030">
      <w:pPr>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color w:val="000000"/>
          <w:rtl w:val="0"/>
        </w:rPr>
        <w:t xml:space="preserve">The evidentiary basis for the trial judge’s concerns came from the complainant’s admissions that she was experiencing hallucinations and delusions and that she had stopped taking her prescription medication at the relevant time. While the complainant attributed some of the detailed hallucinations she described to her use of street drugs, it was open to the trial judge to attribute some of it to her untreated mental health in the time period of the allegations.</w:t>
      </w:r>
    </w:p>
    <w:p w:rsidR="00000000" w:rsidDel="00000000" w:rsidP="00000000" w:rsidRDefault="00000000" w:rsidRPr="00000000" w14:paraId="00000031">
      <w:pPr>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rtl w:val="0"/>
        </w:rPr>
      </w:r>
    </w:p>
    <w:p w:rsidR="00000000" w:rsidDel="00000000" w:rsidP="00000000" w:rsidRDefault="00000000" w:rsidRPr="00000000" w14:paraId="00000032">
      <w:pPr>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color w:val="000000"/>
          <w:rtl w:val="0"/>
        </w:rPr>
        <w:t xml:space="preserve">The complainant’s adoptive mother testified about her observations of the complainant speaking to people who were not present and exhibiting that she was hearing imaginary voices. She testified that the medication reduced the complainant’s symptoms but did not completely eliminate them.</w:t>
      </w:r>
    </w:p>
    <w:p w:rsidR="00000000" w:rsidDel="00000000" w:rsidP="00000000" w:rsidRDefault="00000000" w:rsidRPr="00000000" w14:paraId="00000033">
      <w:pPr>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rtl w:val="0"/>
        </w:rPr>
      </w:r>
    </w:p>
    <w:p w:rsidR="00000000" w:rsidDel="00000000" w:rsidP="00000000" w:rsidRDefault="00000000" w:rsidRPr="00000000" w14:paraId="00000034">
      <w:pPr>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color w:val="000000"/>
          <w:rtl w:val="0"/>
        </w:rPr>
        <w:t xml:space="preserve">The complainant’s brother witnessed an episode of hallucinations and delusion which corresponded to one of the events the complainant had testified about herself. This instance occurred during the relevant time period.</w:t>
      </w:r>
    </w:p>
    <w:p w:rsidR="00000000" w:rsidDel="00000000" w:rsidP="00000000" w:rsidRDefault="00000000" w:rsidRPr="00000000" w14:paraId="00000035">
      <w:pPr>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rtl w:val="0"/>
        </w:rPr>
      </w:r>
    </w:p>
    <w:p w:rsidR="00000000" w:rsidDel="00000000" w:rsidP="00000000" w:rsidRDefault="00000000" w:rsidRPr="00000000" w14:paraId="00000036">
      <w:pPr>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color w:val="000000"/>
          <w:rtl w:val="0"/>
        </w:rPr>
        <w:t xml:space="preserve">The Court of Appeal stated that judges are not required to “silo” their findings about delusions or hallucinations to particular causes - be it mental illness or use of street drugs. They also noted that, whether the hallucinations were from her illness or use of street drugs, the adoptive mother confirmed that the complainant’s delusions were worse when she was off her medication. The complainant had testified to having both stopped her medication and using street drugs at the relevant time.</w:t>
      </w:r>
    </w:p>
    <w:p w:rsidR="00000000" w:rsidDel="00000000" w:rsidP="00000000" w:rsidRDefault="00000000" w:rsidRPr="00000000" w14:paraId="00000037">
      <w:pPr>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rtl w:val="0"/>
        </w:rPr>
      </w:r>
    </w:p>
    <w:p w:rsidR="00000000" w:rsidDel="00000000" w:rsidP="00000000" w:rsidRDefault="00000000" w:rsidRPr="00000000" w14:paraId="00000038">
      <w:pPr>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color w:val="000000"/>
          <w:rtl w:val="0"/>
        </w:rPr>
        <w:t xml:space="preserve">Ultimately, the source and cause of the hallucinations did not change the effect that the delusions had upon the reliability of the complainant’s testimony.</w:t>
      </w:r>
    </w:p>
    <w:p w:rsidR="00000000" w:rsidDel="00000000" w:rsidP="00000000" w:rsidRDefault="00000000" w:rsidRPr="00000000" w14:paraId="00000039">
      <w:pPr>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rtl w:val="0"/>
        </w:rPr>
      </w:r>
    </w:p>
    <w:p w:rsidR="00000000" w:rsidDel="00000000" w:rsidP="00000000" w:rsidRDefault="00000000" w:rsidRPr="00000000" w14:paraId="0000003A">
      <w:pPr>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color w:val="000000"/>
          <w:rtl w:val="0"/>
        </w:rPr>
        <w:t xml:space="preserve">The Court of Appeal further rejected that the trial judge improperly dismissed inculpatory evidence because the evidence was shown to have been assessed as a whole.</w:t>
      </w:r>
    </w:p>
    <w:p w:rsidR="00000000" w:rsidDel="00000000" w:rsidP="00000000" w:rsidRDefault="00000000" w:rsidRPr="00000000" w14:paraId="0000003B">
      <w:pPr>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rtl w:val="0"/>
        </w:rPr>
      </w:r>
    </w:p>
    <w:p w:rsidR="00000000" w:rsidDel="00000000" w:rsidP="00000000" w:rsidRDefault="00000000" w:rsidRPr="00000000" w14:paraId="0000003C">
      <w:pPr>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color w:val="000000"/>
          <w:rtl w:val="0"/>
        </w:rPr>
        <w:t xml:space="preserve">This case is a good reminder that, while people with mental illness deserve to be heard and treated fairly, without prejudice toward their mental health struggles, mental illness may still play a role in the quality of the evidence they can provide.</w:t>
      </w:r>
    </w:p>
    <w:p w:rsidR="00000000" w:rsidDel="00000000" w:rsidP="00000000" w:rsidRDefault="00000000" w:rsidRPr="00000000" w14:paraId="0000003D">
      <w:pPr>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rtl w:val="0"/>
        </w:rPr>
      </w:r>
    </w:p>
    <w:p w:rsidR="00000000" w:rsidDel="00000000" w:rsidP="00000000" w:rsidRDefault="00000000" w:rsidRPr="00000000" w14:paraId="0000003E">
      <w:pPr>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color w:val="000000"/>
          <w:rtl w:val="0"/>
        </w:rPr>
        <w:t xml:space="preserve">Mental illness, on its own, does not detract from credibility and reliability. It is only where the effects of mental illness, such as hallucinations and delusions in this case, connect to a live issue at trial that they may play a valid role in the assessment of reasonable doubt.</w:t>
      </w:r>
    </w:p>
    <w:p w:rsidR="00000000" w:rsidDel="00000000" w:rsidP="00000000" w:rsidRDefault="00000000" w:rsidRPr="00000000" w14:paraId="0000003F">
      <w:pPr>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rtl w:val="0"/>
        </w:rPr>
      </w:r>
    </w:p>
    <w:p w:rsidR="00000000" w:rsidDel="00000000" w:rsidP="00000000" w:rsidRDefault="00000000" w:rsidRPr="00000000" w14:paraId="00000040">
      <w:pPr>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color w:val="000000"/>
          <w:rtl w:val="0"/>
        </w:rPr>
        <w:t xml:space="preserve">A trial judge is permitted to assess whether the testimony of a witness is compromised by any factor that may affect their ability to observe or recount the truth of events. Where mental illness plays a role in a witness’ state of mind at the time of the events they are testifying about, the judge is entitled to consider the quality  of that evidence.</w:t>
      </w:r>
    </w:p>
    <w:p w:rsidR="00000000" w:rsidDel="00000000" w:rsidP="00000000" w:rsidRDefault="00000000" w:rsidRPr="00000000" w14:paraId="00000041">
      <w:pPr>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rtl w:val="0"/>
        </w:rPr>
      </w:r>
    </w:p>
    <w:p w:rsidR="00000000" w:rsidDel="00000000" w:rsidP="00000000" w:rsidRDefault="00000000" w:rsidRPr="00000000" w14:paraId="00000042">
      <w:pPr>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rtl w:val="0"/>
        </w:rPr>
      </w:r>
    </w:p>
    <w:p w:rsidR="00000000" w:rsidDel="00000000" w:rsidP="00000000" w:rsidRDefault="00000000" w:rsidRPr="00000000" w14:paraId="00000043">
      <w:pPr>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b w:val="1"/>
          <w:bCs w:val="1"/>
          <w:color w:val="000000"/>
          <w:sz w:val="32"/>
          <w:szCs w:val="32"/>
        </w:rPr>
      </w:pPr>
      <w:r w:rsidDel="00000000" w:rsidR="00000000" w:rsidRPr="00000000">
        <w:rPr>
          <w:color w:val="000000"/>
        </w:rPr>
        <w:drawing>
          <wp:inline distB="114300" distT="114300" distL="114300" distR="114300">
            <wp:extent cx="2674810" cy="1515102"/>
            <wp:effectExtent b="0" l="0" r="0" t="0"/>
            <wp:docPr id="6" name="image6.png"/>
            <a:graphic>
              <a:graphicData uri="http://schemas.openxmlformats.org/drawingml/2006/picture">
                <pic:pic>
                  <pic:nvPicPr>
                    <pic:cNvPr id="0" name="image6.png"/>
                    <pic:cNvPicPr preferRelativeResize="0"/>
                  </pic:nvPicPr>
                  <pic:blipFill>
                    <a:blip r:embed="rId13"/>
                    <a:srcRect b="0" l="0" r="0" t="0"/>
                    <a:stretch>
                      <a:fillRect/>
                    </a:stretch>
                  </pic:blipFill>
                  <pic:spPr>
                    <a:xfrm>
                      <a:off x="0" y="0"/>
                      <a:ext cx="2674810" cy="1515102"/>
                    </a:xfrm>
                    <a:prstGeom prst="rect"/>
                    <a:ln/>
                  </pic:spPr>
                </pic:pic>
              </a:graphicData>
            </a:graphic>
          </wp:inline>
        </w:drawing>
      </w:r>
      <w:r w:rsidDel="00000000" w:rsidR="00000000" w:rsidRPr="00000000">
        <w:rPr>
          <w:rtl w:val="0"/>
        </w:rPr>
      </w:r>
    </w:p>
    <w:p w:rsidR="00000000" w:rsidDel="00000000" w:rsidP="00000000" w:rsidRDefault="00000000" w:rsidRPr="00000000" w14:paraId="00000044">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160" w:before="100" w:lineRule="auto"/>
        <w:jc w:val="center"/>
        <w:rPr>
          <w:color w:val="000000"/>
          <w:sz w:val="28"/>
          <w:szCs w:val="28"/>
        </w:rPr>
      </w:pPr>
      <w:r w:rsidDel="00000000" w:rsidR="00000000" w:rsidRPr="00000000">
        <w:rPr>
          <w:b w:val="1"/>
          <w:bCs w:val="1"/>
          <w:color w:val="000000"/>
          <w:sz w:val="28"/>
          <w:szCs w:val="28"/>
          <w:rtl w:val="0"/>
        </w:rPr>
        <w:t xml:space="preserve">Infidelity Does Not Make Someone More Likely to Sexually Assault</w:t>
      </w:r>
      <w:r w:rsidDel="00000000" w:rsidR="00000000" w:rsidRPr="00000000">
        <w:rPr>
          <w:rtl w:val="0"/>
        </w:rPr>
      </w:r>
    </w:p>
    <w:p w:rsidR="00000000" w:rsidDel="00000000" w:rsidP="00000000" w:rsidRDefault="00000000" w:rsidRPr="00000000" w14:paraId="00000045">
      <w:pPr>
        <w:pageBreakBefore w:val="0"/>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color w:val="000000"/>
          <w:rtl w:val="0"/>
        </w:rPr>
        <w:t xml:space="preserve">In the recent decision of </w:t>
      </w:r>
      <w:r w:rsidDel="00000000" w:rsidR="00000000" w:rsidRPr="00000000">
        <w:rPr>
          <w:i w:val="1"/>
          <w:iCs w:val="1"/>
          <w:color w:val="000000"/>
          <w:rtl w:val="0"/>
        </w:rPr>
        <w:t xml:space="preserve">R. v. S.F., 2026 ONCA 293</w:t>
      </w:r>
      <w:r w:rsidDel="00000000" w:rsidR="00000000" w:rsidRPr="00000000">
        <w:rPr>
          <w:color w:val="000000"/>
          <w:rtl w:val="0"/>
        </w:rPr>
        <w:t xml:space="preserve">, the Court of Appeal ordered a new trial after concluding that the trial judge engaged in improper propensity reasoning.</w:t>
      </w:r>
    </w:p>
    <w:p w:rsidR="00000000" w:rsidDel="00000000" w:rsidP="00000000" w:rsidRDefault="00000000" w:rsidRPr="00000000" w14:paraId="00000046">
      <w:pPr>
        <w:pageBreakBefore w:val="0"/>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rtl w:val="0"/>
        </w:rPr>
      </w:r>
    </w:p>
    <w:p w:rsidR="00000000" w:rsidDel="00000000" w:rsidP="00000000" w:rsidRDefault="00000000" w:rsidRPr="00000000" w14:paraId="00000047">
      <w:pPr>
        <w:pageBreakBefore w:val="0"/>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color w:val="000000"/>
          <w:rtl w:val="0"/>
        </w:rPr>
        <w:t xml:space="preserve">The case hinged on whether the accused had engaged in sexual intercourse with his girlfriend without using a condom, expressly against her wishes. Consent was said to have been vitiated by the failure to use condoms. No sexually transmitted diseases factored into the trial evidence.</w:t>
      </w:r>
    </w:p>
    <w:p w:rsidR="00000000" w:rsidDel="00000000" w:rsidP="00000000" w:rsidRDefault="00000000" w:rsidRPr="00000000" w14:paraId="00000048">
      <w:pPr>
        <w:pageBreakBefore w:val="0"/>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rtl w:val="0"/>
        </w:rPr>
      </w:r>
    </w:p>
    <w:p w:rsidR="00000000" w:rsidDel="00000000" w:rsidP="00000000" w:rsidRDefault="00000000" w:rsidRPr="00000000" w14:paraId="00000049">
      <w:pPr>
        <w:pageBreakBefore w:val="0"/>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color w:val="000000"/>
          <w:rtl w:val="0"/>
        </w:rPr>
        <w:t xml:space="preserve">In </w:t>
      </w:r>
      <w:r w:rsidDel="00000000" w:rsidR="00000000" w:rsidRPr="00000000">
        <w:rPr>
          <w:i w:val="1"/>
          <w:iCs w:val="1"/>
          <w:color w:val="000000"/>
          <w:rtl w:val="0"/>
        </w:rPr>
        <w:t xml:space="preserve">S.F.</w:t>
      </w:r>
      <w:r w:rsidDel="00000000" w:rsidR="00000000" w:rsidRPr="00000000">
        <w:rPr>
          <w:color w:val="000000"/>
          <w:rtl w:val="0"/>
        </w:rPr>
        <w:t xml:space="preserve">, the accused testified that he always used a condom and suggested that the complainant was fabricating the sexual assault allegations out of anger when she discovered that the accused was cheating on her with another woman.</w:t>
      </w:r>
    </w:p>
    <w:p w:rsidR="00000000" w:rsidDel="00000000" w:rsidP="00000000" w:rsidRDefault="00000000" w:rsidRPr="00000000" w14:paraId="0000004A">
      <w:pPr>
        <w:pageBreakBefore w:val="0"/>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rtl w:val="0"/>
        </w:rPr>
      </w:r>
    </w:p>
    <w:p w:rsidR="00000000" w:rsidDel="00000000" w:rsidP="00000000" w:rsidRDefault="00000000" w:rsidRPr="00000000" w14:paraId="0000004B">
      <w:pPr>
        <w:pageBreakBefore w:val="0"/>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color w:val="000000"/>
          <w:rtl w:val="0"/>
        </w:rPr>
        <w:t xml:space="preserve">Infidelity was first brought up by the complainant in her testimony. The accused confirmed the infidelity and put that forward as a motive to fabricate. </w:t>
      </w:r>
    </w:p>
    <w:p w:rsidR="00000000" w:rsidDel="00000000" w:rsidP="00000000" w:rsidRDefault="00000000" w:rsidRPr="00000000" w14:paraId="0000004C">
      <w:pPr>
        <w:pageBreakBefore w:val="0"/>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rtl w:val="0"/>
        </w:rPr>
      </w:r>
    </w:p>
    <w:p w:rsidR="00000000" w:rsidDel="00000000" w:rsidP="00000000" w:rsidRDefault="00000000" w:rsidRPr="00000000" w14:paraId="0000004D">
      <w:pPr>
        <w:pageBreakBefore w:val="0"/>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color w:val="000000"/>
          <w:rtl w:val="0"/>
        </w:rPr>
        <w:t xml:space="preserve">The trial judge cautioned himself against using evidence of infidelity as bad character evidence but the Court of Appeal found that it was clear the trial judge rejected the accused’s evidence out of propensity reasoning due to his infidelity.</w:t>
      </w:r>
    </w:p>
    <w:p w:rsidR="00000000" w:rsidDel="00000000" w:rsidP="00000000" w:rsidRDefault="00000000" w:rsidRPr="00000000" w14:paraId="0000004E">
      <w:pPr>
        <w:pageBreakBefore w:val="0"/>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rtl w:val="0"/>
        </w:rPr>
      </w:r>
    </w:p>
    <w:p w:rsidR="00000000" w:rsidDel="00000000" w:rsidP="00000000" w:rsidRDefault="00000000" w:rsidRPr="00000000" w14:paraId="0000004F">
      <w:pPr>
        <w:pageBreakBefore w:val="0"/>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color w:val="000000"/>
          <w:rtl w:val="0"/>
        </w:rPr>
        <w:t xml:space="preserve">The trial judge also gave no warning to the defence during submissions that his infidelity may play a factor in the credibility assessment.</w:t>
      </w:r>
    </w:p>
    <w:p w:rsidR="00000000" w:rsidDel="00000000" w:rsidP="00000000" w:rsidRDefault="00000000" w:rsidRPr="00000000" w14:paraId="00000050">
      <w:pPr>
        <w:pageBreakBefore w:val="0"/>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rtl w:val="0"/>
        </w:rPr>
      </w:r>
    </w:p>
    <w:p w:rsidR="00000000" w:rsidDel="00000000" w:rsidP="00000000" w:rsidRDefault="00000000" w:rsidRPr="00000000" w14:paraId="00000051">
      <w:pPr>
        <w:pageBreakBefore w:val="0"/>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color w:val="000000"/>
          <w:rtl w:val="0"/>
        </w:rPr>
        <w:t xml:space="preserve">The segment of the trial judge’s reasoning that was in dispute reads as follows:</w:t>
      </w:r>
    </w:p>
    <w:p w:rsidR="00000000" w:rsidDel="00000000" w:rsidP="00000000" w:rsidRDefault="00000000" w:rsidRPr="00000000" w14:paraId="00000052">
      <w:pPr>
        <w:pageBreakBefore w:val="0"/>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rtl w:val="0"/>
        </w:rPr>
      </w:r>
    </w:p>
    <w:p w:rsidR="00000000" w:rsidDel="00000000" w:rsidP="00000000" w:rsidRDefault="00000000" w:rsidRPr="00000000" w14:paraId="00000053">
      <w:pPr>
        <w:pageBreakBefore w:val="0"/>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720" w:firstLine="0"/>
        <w:jc w:val="both"/>
        <w:rPr>
          <w:color w:val="000000"/>
        </w:rPr>
      </w:pPr>
      <w:r w:rsidDel="00000000" w:rsidR="00000000" w:rsidRPr="00000000">
        <w:rPr>
          <w:color w:val="000000"/>
          <w:rtl w:val="0"/>
        </w:rPr>
        <w:t xml:space="preserve">I have also considered the [appellant’s] admitted infidelity. To be clear, I am not finding that because he was unfaithful to the Complainant, he is more likely to have committed these offences. I do not consider it as character evidence. Where I find it is relevant is in discerning his view of their relationship. After they agreed to be exclusive, and after they’d said “I love you” to each other, he took two trips with another woman. In my view, this shows a lack of respect for both the Complainant and their relationship. It shows he did not take their commitment or her feelings seriously. That is relevant to my determination of whether he would disregard the Complainant’s rule regarding condom use.</w:t>
      </w:r>
    </w:p>
    <w:p w:rsidR="00000000" w:rsidDel="00000000" w:rsidP="00000000" w:rsidRDefault="00000000" w:rsidRPr="00000000" w14:paraId="00000054">
      <w:pPr>
        <w:pageBreakBefore w:val="0"/>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720" w:firstLine="0"/>
        <w:jc w:val="both"/>
        <w:rPr>
          <w:color w:val="000000"/>
        </w:rPr>
      </w:pPr>
      <w:r w:rsidDel="00000000" w:rsidR="00000000" w:rsidRPr="00000000">
        <w:rPr>
          <w:rtl w:val="0"/>
        </w:rPr>
      </w:r>
    </w:p>
    <w:p w:rsidR="00000000" w:rsidDel="00000000" w:rsidP="00000000" w:rsidRDefault="00000000" w:rsidRPr="00000000" w14:paraId="00000055">
      <w:pPr>
        <w:pageBreakBefore w:val="0"/>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color w:val="000000"/>
          <w:rtl w:val="0"/>
        </w:rPr>
        <w:t xml:space="preserve">The Court of Appeal agreed with S.F. that, despite the claim that infidelity was not being used as propensity reasoning it was ultimately used for precisely that reason. The accused’s testimony was rejected because the trial judge compared the violation of trust in monogamy as a sign that S.F. had no respect for any other relationship boundaries or conditions set by the complainant.</w:t>
      </w:r>
    </w:p>
    <w:p w:rsidR="00000000" w:rsidDel="00000000" w:rsidP="00000000" w:rsidRDefault="00000000" w:rsidRPr="00000000" w14:paraId="00000056">
      <w:pPr>
        <w:pageBreakBefore w:val="0"/>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rtl w:val="0"/>
        </w:rPr>
      </w:r>
    </w:p>
    <w:p w:rsidR="00000000" w:rsidDel="00000000" w:rsidP="00000000" w:rsidRDefault="00000000" w:rsidRPr="00000000" w14:paraId="00000057">
      <w:pPr>
        <w:pageBreakBefore w:val="0"/>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color w:val="000000"/>
          <w:rtl w:val="0"/>
        </w:rPr>
        <w:t xml:space="preserve">Not only had the trial judge failed to notify the accused that the infidelity may affect his credibility, the Crown had not cross-examined on whether the accused lacked general respect for the complainant’s rules or conditions in the relationship. The Crown also made no submissions in closing that S.F.’s infidelity should affect his credibility.</w:t>
      </w:r>
    </w:p>
    <w:p w:rsidR="00000000" w:rsidDel="00000000" w:rsidP="00000000" w:rsidRDefault="00000000" w:rsidRPr="00000000" w14:paraId="00000058">
      <w:pPr>
        <w:pageBreakBefore w:val="0"/>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rtl w:val="0"/>
        </w:rPr>
      </w:r>
    </w:p>
    <w:p w:rsidR="00000000" w:rsidDel="00000000" w:rsidP="00000000" w:rsidRDefault="00000000" w:rsidRPr="00000000" w14:paraId="00000059">
      <w:pPr>
        <w:pageBreakBefore w:val="0"/>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color w:val="000000"/>
          <w:rtl w:val="0"/>
        </w:rPr>
        <w:t xml:space="preserve">The decision in </w:t>
      </w:r>
      <w:r w:rsidDel="00000000" w:rsidR="00000000" w:rsidRPr="00000000">
        <w:rPr>
          <w:i w:val="1"/>
          <w:iCs w:val="1"/>
          <w:color w:val="000000"/>
          <w:rtl w:val="0"/>
        </w:rPr>
        <w:t xml:space="preserve">S.F.</w:t>
      </w:r>
      <w:r w:rsidDel="00000000" w:rsidR="00000000" w:rsidRPr="00000000">
        <w:rPr>
          <w:color w:val="000000"/>
          <w:rtl w:val="0"/>
        </w:rPr>
        <w:t xml:space="preserve"> also rejected the Crown’s argument on appeal that </w:t>
      </w:r>
      <w:r w:rsidDel="00000000" w:rsidR="00000000" w:rsidRPr="00000000">
        <w:rPr>
          <w:i w:val="1"/>
          <w:iCs w:val="1"/>
          <w:color w:val="000000"/>
          <w:rtl w:val="0"/>
        </w:rPr>
        <w:t xml:space="preserve">R v Kruk</w:t>
      </w:r>
      <w:r w:rsidDel="00000000" w:rsidR="00000000" w:rsidRPr="00000000">
        <w:rPr>
          <w:color w:val="000000"/>
          <w:rtl w:val="0"/>
        </w:rPr>
        <w:t xml:space="preserve">, 2024 SCC 7 allowed the trial judge to reject the accused’s evidence based on the admitted infidelity by finding him “generally disinclined to respect the complainant’s wishes.”  </w:t>
      </w:r>
    </w:p>
    <w:p w:rsidR="00000000" w:rsidDel="00000000" w:rsidP="00000000" w:rsidRDefault="00000000" w:rsidRPr="00000000" w14:paraId="0000005A">
      <w:pPr>
        <w:pageBreakBefore w:val="0"/>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rtl w:val="0"/>
        </w:rPr>
      </w:r>
    </w:p>
    <w:p w:rsidR="00000000" w:rsidDel="00000000" w:rsidP="00000000" w:rsidRDefault="00000000" w:rsidRPr="00000000" w14:paraId="0000005B">
      <w:pPr>
        <w:pageBreakBefore w:val="0"/>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color w:val="000000"/>
          <w:rtl w:val="0"/>
        </w:rPr>
        <w:t xml:space="preserve">The Court of Appeal differentiated </w:t>
      </w:r>
      <w:r w:rsidDel="00000000" w:rsidR="00000000" w:rsidRPr="00000000">
        <w:rPr>
          <w:i w:val="1"/>
          <w:iCs w:val="1"/>
          <w:color w:val="000000"/>
          <w:rtl w:val="0"/>
        </w:rPr>
        <w:t xml:space="preserve">Kruk</w:t>
      </w:r>
      <w:r w:rsidDel="00000000" w:rsidR="00000000" w:rsidRPr="00000000">
        <w:rPr>
          <w:color w:val="000000"/>
          <w:rtl w:val="0"/>
        </w:rPr>
        <w:t xml:space="preserve"> as a case in which the accused’s evidence was rejected based on the judge’s acceptance of contradictory evidence on what had occurred that evening.  It did not endorse that, because an accused previously engaged in a morally reprehensible act, he had a greater propensity to commit an unrelated criminal offence months later. </w:t>
      </w:r>
    </w:p>
    <w:p w:rsidR="00000000" w:rsidDel="00000000" w:rsidP="00000000" w:rsidRDefault="00000000" w:rsidRPr="00000000" w14:paraId="0000005C">
      <w:pPr>
        <w:pageBreakBefore w:val="0"/>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rtl w:val="0"/>
        </w:rPr>
      </w:r>
    </w:p>
    <w:p w:rsidR="00000000" w:rsidDel="00000000" w:rsidP="00000000" w:rsidRDefault="00000000" w:rsidRPr="00000000" w14:paraId="0000005D">
      <w:pPr>
        <w:pageBreakBefore w:val="0"/>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color w:val="000000"/>
          <w:rtl w:val="0"/>
        </w:rPr>
        <w:t xml:space="preserve">The Court additionally declined to use the curative proviso on the grounds that the trial had been procedurally unfair due to the failure to advise the accused that his infidelity may be factored into the credibility assessment.</w:t>
      </w:r>
    </w:p>
    <w:p w:rsidR="00000000" w:rsidDel="00000000" w:rsidP="00000000" w:rsidRDefault="00000000" w:rsidRPr="00000000" w14:paraId="0000005E">
      <w:pPr>
        <w:pageBreakBefore w:val="0"/>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rtl w:val="0"/>
        </w:rPr>
      </w:r>
    </w:p>
    <w:p w:rsidR="00000000" w:rsidDel="00000000" w:rsidP="00000000" w:rsidRDefault="00000000" w:rsidRPr="00000000" w14:paraId="0000005F">
      <w:pPr>
        <w:pageBreakBefore w:val="0"/>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rtl w:val="0"/>
        </w:rPr>
      </w:r>
    </w:p>
    <w:p w:rsidR="00000000" w:rsidDel="00000000" w:rsidP="00000000" w:rsidRDefault="00000000" w:rsidRPr="00000000" w14:paraId="00000060">
      <w:pPr>
        <w:pageBreakBefore w:val="0"/>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rtl w:val="0"/>
        </w:rPr>
      </w:r>
    </w:p>
    <w:p w:rsidR="00000000" w:rsidDel="00000000" w:rsidP="00000000" w:rsidRDefault="00000000" w:rsidRPr="00000000" w14:paraId="00000061">
      <w:pPr>
        <w:pBdr>
          <w:top w:color="000000" w:space="2" w:sz="8" w:val="single"/>
          <w:left w:color="000000" w:space="2" w:sz="8" w:val="single"/>
          <w:bottom w:color="000000" w:space="2" w:sz="8" w:val="single"/>
          <w:right w:color="000000" w:space="2" w:sz="8" w:val="single"/>
          <w:between w:color="auto" w:space="0" w:sz="0" w:val="none"/>
        </w:pBdr>
        <w:shd w:fill="ffffff" w:val="clear"/>
        <w:spacing w:before="0" w:lineRule="auto"/>
        <w:jc w:val="both"/>
        <w:rPr>
          <w:color w:val="000000"/>
        </w:rPr>
      </w:pPr>
      <w:r w:rsidDel="00000000" w:rsidR="00000000" w:rsidRPr="00000000">
        <w:rPr>
          <w:color w:val="000000"/>
        </w:rPr>
        <w:drawing>
          <wp:inline distB="114300" distT="114300" distL="114300" distR="114300">
            <wp:extent cx="2638425" cy="1319213"/>
            <wp:effectExtent b="0" l="0" r="0" t="0"/>
            <wp:docPr id="2"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2638425" cy="1319213"/>
                    </a:xfrm>
                    <a:prstGeom prst="rect"/>
                    <a:ln/>
                  </pic:spPr>
                </pic:pic>
              </a:graphicData>
            </a:graphic>
          </wp:inline>
        </w:drawing>
      </w:r>
      <w:r w:rsidDel="00000000" w:rsidR="00000000" w:rsidRPr="00000000">
        <w:rPr>
          <w:rtl w:val="0"/>
        </w:rPr>
      </w:r>
    </w:p>
    <w:p w:rsidR="00000000" w:rsidDel="00000000" w:rsidP="00000000" w:rsidRDefault="00000000" w:rsidRPr="00000000" w14:paraId="00000062">
      <w:pPr>
        <w:pStyle w:val="Heading2"/>
        <w:spacing w:after="160" w:before="100" w:line="240" w:lineRule="auto"/>
        <w:rPr>
          <w:sz w:val="26"/>
          <w:szCs w:val="26"/>
        </w:rPr>
      </w:pPr>
      <w:bookmarkStart w:colFirst="0" w:colLast="0" w:name="_33jgaqml5upc" w:id="6"/>
      <w:bookmarkEnd w:id="6"/>
      <w:r w:rsidDel="00000000" w:rsidR="00000000" w:rsidRPr="00000000">
        <w:rPr>
          <w:color w:val="000000"/>
          <w:sz w:val="26"/>
          <w:szCs w:val="26"/>
          <w:rtl w:val="0"/>
        </w:rPr>
        <w:t xml:space="preserve">Verbal Consent is Not Required</w:t>
      </w:r>
      <w:r w:rsidDel="00000000" w:rsidR="00000000" w:rsidRPr="00000000">
        <w:rPr>
          <w:rtl w:val="0"/>
        </w:rPr>
      </w:r>
    </w:p>
    <w:p w:rsidR="00000000" w:rsidDel="00000000" w:rsidP="00000000" w:rsidRDefault="00000000" w:rsidRPr="00000000" w14:paraId="00000063">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color w:val="000000"/>
          <w:rtl w:val="0"/>
        </w:rPr>
        <w:t xml:space="preserve">In another recent decision from the Ontario Court of Appeal, </w:t>
      </w:r>
      <w:r w:rsidDel="00000000" w:rsidR="00000000" w:rsidRPr="00000000">
        <w:rPr>
          <w:i w:val="1"/>
          <w:iCs w:val="1"/>
          <w:color w:val="000000"/>
          <w:rtl w:val="0"/>
        </w:rPr>
        <w:t xml:space="preserve">R v JHC, </w:t>
      </w:r>
      <w:r w:rsidDel="00000000" w:rsidR="00000000" w:rsidRPr="00000000">
        <w:rPr>
          <w:color w:val="000000"/>
          <w:rtl w:val="0"/>
        </w:rPr>
        <w:t xml:space="preserve">2026 ONCA 285</w:t>
      </w:r>
      <w:r w:rsidDel="00000000" w:rsidR="00000000" w:rsidRPr="00000000">
        <w:rPr>
          <w:color w:val="000000"/>
          <w:rtl w:val="0"/>
        </w:rPr>
        <w:t xml:space="preserve">, the Crown’s appeal of acquittals was rejected, finding that the trial judge had not erred in the requirement for reasonable steps to ascertain consent.</w:t>
      </w:r>
    </w:p>
    <w:p w:rsidR="00000000" w:rsidDel="00000000" w:rsidP="00000000" w:rsidRDefault="00000000" w:rsidRPr="00000000" w14:paraId="00000064">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rtl w:val="0"/>
        </w:rPr>
      </w:r>
    </w:p>
    <w:p w:rsidR="00000000" w:rsidDel="00000000" w:rsidP="00000000" w:rsidRDefault="00000000" w:rsidRPr="00000000" w14:paraId="00000065">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color w:val="000000"/>
          <w:rtl w:val="0"/>
        </w:rPr>
        <w:t xml:space="preserve">The Crown primarily alleged that the judge had erred in finding that the accused was not required to obtain consent at every step of the sexual encounter. The assessment of the trial judge’s reasons for acquittal had to take into account what had been said between him and the Crown during closing submissions.</w:t>
      </w:r>
    </w:p>
    <w:p w:rsidR="00000000" w:rsidDel="00000000" w:rsidP="00000000" w:rsidRDefault="00000000" w:rsidRPr="00000000" w14:paraId="00000066">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rtl w:val="0"/>
        </w:rPr>
      </w:r>
    </w:p>
    <w:p w:rsidR="00000000" w:rsidDel="00000000" w:rsidP="00000000" w:rsidRDefault="00000000" w:rsidRPr="00000000" w14:paraId="00000067">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color w:val="000000"/>
          <w:rtl w:val="0"/>
        </w:rPr>
        <w:t xml:space="preserve">The decision had been rendered at the end of the day following a two day trial, shortly after oral submissions. During submissions the Crown took the position that, even if the complainant’s evidence was not accepted, the accused’s own testimony showed a failure to obtain communicated consent.</w:t>
      </w:r>
    </w:p>
    <w:p w:rsidR="00000000" w:rsidDel="00000000" w:rsidP="00000000" w:rsidRDefault="00000000" w:rsidRPr="00000000" w14:paraId="00000068">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rtl w:val="0"/>
        </w:rPr>
      </w:r>
    </w:p>
    <w:p w:rsidR="00000000" w:rsidDel="00000000" w:rsidP="00000000" w:rsidRDefault="00000000" w:rsidRPr="00000000" w14:paraId="00000069">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color w:val="000000"/>
          <w:rtl w:val="0"/>
        </w:rPr>
        <w:t xml:space="preserve">In this case, JHC agreed that he had anal intercourse with the complainant on the night in question. They had started out with vaginal sex then switched to anal as part of the flow of events. JHC’s testimony was quoted as having said “sex happens.”</w:t>
      </w:r>
    </w:p>
    <w:p w:rsidR="00000000" w:rsidDel="00000000" w:rsidP="00000000" w:rsidRDefault="00000000" w:rsidRPr="00000000" w14:paraId="0000006A">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rtl w:val="0"/>
        </w:rPr>
      </w:r>
    </w:p>
    <w:p w:rsidR="00000000" w:rsidDel="00000000" w:rsidP="00000000" w:rsidRDefault="00000000" w:rsidRPr="00000000" w14:paraId="0000006B">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color w:val="000000"/>
          <w:rtl w:val="0"/>
        </w:rPr>
        <w:t xml:space="preserve">The Court of Appeal found that the trial judge understandably perceived the Crown as having argued that “communicated consent” must be verbal because the Crown argued that there was “no discussion” about switching to anal sex. </w:t>
      </w:r>
    </w:p>
    <w:p w:rsidR="00000000" w:rsidDel="00000000" w:rsidP="00000000" w:rsidRDefault="00000000" w:rsidRPr="00000000" w14:paraId="0000006C">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rtl w:val="0"/>
        </w:rPr>
      </w:r>
    </w:p>
    <w:p w:rsidR="00000000" w:rsidDel="00000000" w:rsidP="00000000" w:rsidRDefault="00000000" w:rsidRPr="00000000" w14:paraId="0000006D">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color w:val="000000"/>
          <w:rtl w:val="0"/>
        </w:rPr>
        <w:t xml:space="preserve">This is supported by their description of the exchange between the Crown and trial judge during closing submissions, as follows:</w:t>
      </w:r>
    </w:p>
    <w:p w:rsidR="00000000" w:rsidDel="00000000" w:rsidP="00000000" w:rsidRDefault="00000000" w:rsidRPr="00000000" w14:paraId="0000006E">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rtl w:val="0"/>
        </w:rPr>
      </w:r>
    </w:p>
    <w:p w:rsidR="00000000" w:rsidDel="00000000" w:rsidP="00000000" w:rsidRDefault="00000000" w:rsidRPr="00000000" w14:paraId="0000006F">
      <w:pPr>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720" w:firstLine="0"/>
        <w:jc w:val="both"/>
        <w:rPr>
          <w:color w:val="000000"/>
        </w:rPr>
      </w:pPr>
      <w:r w:rsidDel="00000000" w:rsidR="00000000" w:rsidRPr="00000000">
        <w:rPr>
          <w:color w:val="000000"/>
          <w:rtl w:val="0"/>
        </w:rPr>
        <w:t xml:space="preserve">The only reason why the trial judge addressed “separate consent” in his reasons is because the trial Crown shifted gears in his closing, as he was permitted to do, by arguing that the respondent’s own evidence made out a sexual assault because, as the trial judge understood the submission, there was no verbal consent to the anal intercourse. In making this submission, the trial Crown stressed that there was no “discussion” between the vaginal and anal sex. But, as the trial judge noted in his reasons, the respondent testified that the complainant communicated consent through gestures rather than words. In light of this context, I read the impugned passage in the reasons as missing one word, which I insert in brackets: “I disagree that the law requires the accused to obtain [verbal] separate consent to each step of the sexual encounter.”</w:t>
      </w:r>
    </w:p>
    <w:p w:rsidR="00000000" w:rsidDel="00000000" w:rsidP="00000000" w:rsidRDefault="00000000" w:rsidRPr="00000000" w14:paraId="00000070">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rtl w:val="0"/>
        </w:rPr>
      </w:r>
    </w:p>
    <w:p w:rsidR="00000000" w:rsidDel="00000000" w:rsidP="00000000" w:rsidRDefault="00000000" w:rsidRPr="00000000" w14:paraId="00000071">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color w:val="000000"/>
          <w:rtl w:val="0"/>
        </w:rPr>
        <w:t xml:space="preserve">The Court of Appeal stressed that, without the reference to verbal communications, it is incorrect that consent is not required for each separate sexual activity. The phrase “communicated consent” continues to allow for non-verbal communication and verbal “discussions” are not required.</w:t>
      </w:r>
    </w:p>
    <w:p w:rsidR="00000000" w:rsidDel="00000000" w:rsidP="00000000" w:rsidRDefault="00000000" w:rsidRPr="00000000" w14:paraId="00000072">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rtl w:val="0"/>
        </w:rPr>
      </w:r>
    </w:p>
    <w:p w:rsidR="00000000" w:rsidDel="00000000" w:rsidP="00000000" w:rsidRDefault="00000000" w:rsidRPr="00000000" w14:paraId="00000073">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color w:val="000000"/>
          <w:rtl w:val="0"/>
        </w:rPr>
        <w:t xml:space="preserve">Because the reasons were delivered efficiently, shortly after closing submissions, the Court of Appeal accepted that, despite being poorly worded, the decision was sound.</w:t>
      </w:r>
    </w:p>
    <w:p w:rsidR="00000000" w:rsidDel="00000000" w:rsidP="00000000" w:rsidRDefault="00000000" w:rsidRPr="00000000" w14:paraId="00000074">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rtl w:val="0"/>
        </w:rPr>
      </w:r>
    </w:p>
    <w:p w:rsidR="00000000" w:rsidDel="00000000" w:rsidP="00000000" w:rsidRDefault="00000000" w:rsidRPr="00000000" w14:paraId="00000075">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color w:val="000000"/>
          <w:rtl w:val="0"/>
        </w:rPr>
        <w:t xml:space="preserve">The Crown also failed on the ground of appeal that the trial judge required corroboration from a witness to an alleged assault. The trial judge had found “frailties” in the complainant’s evidence and merely commented that the alleged witness would have helped overcome those frailties.</w:t>
      </w:r>
    </w:p>
    <w:p w:rsidR="00000000" w:rsidDel="00000000" w:rsidP="00000000" w:rsidRDefault="00000000" w:rsidRPr="00000000" w14:paraId="00000076">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rtl w:val="0"/>
        </w:rPr>
      </w:r>
    </w:p>
    <w:p w:rsidR="00000000" w:rsidDel="00000000" w:rsidP="00000000" w:rsidRDefault="00000000" w:rsidRPr="00000000" w14:paraId="00000077">
      <w:pPr>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0" w:firstLine="0"/>
        <w:jc w:val="both"/>
        <w:rPr>
          <w:color w:val="000000"/>
        </w:rPr>
      </w:pPr>
      <w:r w:rsidDel="00000000" w:rsidR="00000000" w:rsidRPr="00000000">
        <w:rPr>
          <w:rtl w:val="0"/>
        </w:rPr>
      </w:r>
    </w:p>
    <w:p w:rsidR="00000000" w:rsidDel="00000000" w:rsidP="00000000" w:rsidRDefault="00000000" w:rsidRPr="00000000" w14:paraId="00000078">
      <w:pPr>
        <w:pBdr>
          <w:top w:color="000000" w:space="2" w:sz="8" w:val="single"/>
          <w:left w:color="000000" w:space="2" w:sz="8" w:val="single"/>
          <w:bottom w:color="000000" w:space="2" w:sz="8" w:val="single"/>
          <w:right w:color="000000" w:space="2" w:sz="8" w:val="single"/>
          <w:between w:color="auto" w:space="0" w:sz="0" w:val="none"/>
        </w:pBdr>
        <w:shd w:fill="ffffff" w:val="clear"/>
        <w:spacing w:before="0" w:lineRule="auto"/>
        <w:jc w:val="center"/>
        <w:rPr>
          <w:color w:val="000000"/>
        </w:rPr>
      </w:pPr>
      <w:r w:rsidDel="00000000" w:rsidR="00000000" w:rsidRPr="00000000">
        <w:rPr>
          <w:color w:val="000000"/>
        </w:rPr>
        <w:drawing>
          <wp:inline distB="114300" distT="114300" distL="114300" distR="114300">
            <wp:extent cx="2638425" cy="1319213"/>
            <wp:effectExtent b="0" l="0" r="0" t="0"/>
            <wp:docPr id="4" name="image7.jpg"/>
            <a:graphic>
              <a:graphicData uri="http://schemas.openxmlformats.org/drawingml/2006/picture">
                <pic:pic>
                  <pic:nvPicPr>
                    <pic:cNvPr id="0" name="image7.jpg"/>
                    <pic:cNvPicPr preferRelativeResize="0"/>
                  </pic:nvPicPr>
                  <pic:blipFill>
                    <a:blip r:embed="rId15"/>
                    <a:srcRect b="5490" l="0" r="0" t="5490"/>
                    <a:stretch>
                      <a:fillRect/>
                    </a:stretch>
                  </pic:blipFill>
                  <pic:spPr>
                    <a:xfrm>
                      <a:off x="0" y="0"/>
                      <a:ext cx="2638425" cy="1319213"/>
                    </a:xfrm>
                    <a:prstGeom prst="rect"/>
                    <a:ln/>
                  </pic:spPr>
                </pic:pic>
              </a:graphicData>
            </a:graphic>
          </wp:inline>
        </w:drawing>
      </w:r>
      <w:r w:rsidDel="00000000" w:rsidR="00000000" w:rsidRPr="00000000">
        <w:rPr>
          <w:rtl w:val="0"/>
        </w:rPr>
      </w:r>
    </w:p>
    <w:p w:rsidR="00000000" w:rsidDel="00000000" w:rsidP="00000000" w:rsidRDefault="00000000" w:rsidRPr="00000000" w14:paraId="00000079">
      <w:pPr>
        <w:pStyle w:val="Heading2"/>
        <w:spacing w:after="160" w:before="100" w:line="240" w:lineRule="auto"/>
        <w:rPr/>
      </w:pPr>
      <w:bookmarkStart w:colFirst="0" w:colLast="0" w:name="_lf023iio38e6" w:id="7"/>
      <w:bookmarkEnd w:id="7"/>
      <w:r w:rsidDel="00000000" w:rsidR="00000000" w:rsidRPr="00000000">
        <w:rPr>
          <w:color w:val="000000"/>
          <w:sz w:val="26"/>
          <w:szCs w:val="26"/>
          <w:rtl w:val="0"/>
        </w:rPr>
        <w:t xml:space="preserve">Disparity in Sexual Assault Trials Between the Accused and Complainant: Failure to Investigate</w:t>
      </w:r>
      <w:r w:rsidDel="00000000" w:rsidR="00000000" w:rsidRPr="00000000">
        <w:rPr>
          <w:rtl w:val="0"/>
        </w:rPr>
      </w:r>
    </w:p>
    <w:p w:rsidR="00000000" w:rsidDel="00000000" w:rsidP="00000000" w:rsidRDefault="00000000" w:rsidRPr="00000000" w14:paraId="0000007A">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color w:val="000000"/>
          <w:rtl w:val="0"/>
        </w:rPr>
        <w:t xml:space="preserve">In the recent case in </w:t>
      </w:r>
      <w:r w:rsidDel="00000000" w:rsidR="00000000" w:rsidRPr="00000000">
        <w:rPr>
          <w:i w:val="1"/>
          <w:iCs w:val="1"/>
          <w:color w:val="000000"/>
          <w:rtl w:val="0"/>
        </w:rPr>
        <w:t xml:space="preserve">R. v. N.B.</w:t>
      </w:r>
      <w:r w:rsidDel="00000000" w:rsidR="00000000" w:rsidRPr="00000000">
        <w:rPr>
          <w:color w:val="000000"/>
          <w:rtl w:val="0"/>
        </w:rPr>
        <w:t xml:space="preserve">, [2026] O.J. No. 539, the accused was acquitted of multiple counts of sexual assault and assault with a finding both that the complainant had lied and that the police had failed to properly investigate at the time of reporting.</w:t>
      </w:r>
    </w:p>
    <w:p w:rsidR="00000000" w:rsidDel="00000000" w:rsidP="00000000" w:rsidRDefault="00000000" w:rsidRPr="00000000" w14:paraId="0000007B">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rtl w:val="0"/>
        </w:rPr>
      </w:r>
    </w:p>
    <w:p w:rsidR="00000000" w:rsidDel="00000000" w:rsidP="00000000" w:rsidRDefault="00000000" w:rsidRPr="00000000" w14:paraId="0000007C">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color w:val="000000"/>
          <w:rtl w:val="0"/>
        </w:rPr>
        <w:t xml:space="preserve">The trial judge apologized on behalf of the administration of justice because, if properly investigated, the accused would not have had to be subjected to the expense and stress of the trial process. The trial judge found that the complainant had fabricated evidence that would have been discovered by police had they obtained the CCTV footage and conducted a thorough investigation. </w:t>
      </w:r>
    </w:p>
    <w:p w:rsidR="00000000" w:rsidDel="00000000" w:rsidP="00000000" w:rsidRDefault="00000000" w:rsidRPr="00000000" w14:paraId="0000007D">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rtl w:val="0"/>
        </w:rPr>
      </w:r>
    </w:p>
    <w:p w:rsidR="00000000" w:rsidDel="00000000" w:rsidP="00000000" w:rsidRDefault="00000000" w:rsidRPr="00000000" w14:paraId="0000007E">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color w:val="000000"/>
          <w:rtl w:val="0"/>
        </w:rPr>
        <w:t xml:space="preserve">At the outset, the complainant had reported assaults and sexual assaults immediately after alleging the final assault having taken place at a bar which had CCTV footage of the area in which the assault was said to have occurred. The police took no steps to secure the CCTV footage and the accused had to take steps to obtain that footage himself. The judge commented on this lack of diligence:</w:t>
      </w:r>
    </w:p>
    <w:p w:rsidR="00000000" w:rsidDel="00000000" w:rsidP="00000000" w:rsidRDefault="00000000" w:rsidRPr="00000000" w14:paraId="0000007F">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rtl w:val="0"/>
        </w:rPr>
      </w:r>
    </w:p>
    <w:p w:rsidR="00000000" w:rsidDel="00000000" w:rsidP="00000000" w:rsidRDefault="00000000" w:rsidRPr="00000000" w14:paraId="00000080">
      <w:pPr>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720" w:firstLine="0"/>
        <w:jc w:val="both"/>
        <w:rPr>
          <w:color w:val="000000"/>
        </w:rPr>
      </w:pPr>
      <w:r w:rsidDel="00000000" w:rsidR="00000000" w:rsidRPr="00000000">
        <w:rPr>
          <w:color w:val="000000"/>
          <w:rtl w:val="0"/>
        </w:rPr>
        <w:t xml:space="preserve">As an aside, I find it unacceptable that police did not first obtain this evidence as part of their investigation. Instead, they took H.J. at her word. And as it turns out, H.J.'s word has little worth. Moreover, by doing so, police, in</w:t>
      </w:r>
    </w:p>
    <w:p w:rsidR="00000000" w:rsidDel="00000000" w:rsidP="00000000" w:rsidRDefault="00000000" w:rsidRPr="00000000" w14:paraId="00000081">
      <w:pPr>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720" w:firstLine="0"/>
        <w:jc w:val="both"/>
        <w:rPr>
          <w:color w:val="000000"/>
        </w:rPr>
      </w:pPr>
      <w:r w:rsidDel="00000000" w:rsidR="00000000" w:rsidRPr="00000000">
        <w:rPr>
          <w:color w:val="000000"/>
          <w:rtl w:val="0"/>
        </w:rPr>
        <w:t xml:space="preserve">effect, reversed the burden of proof in this case.</w:t>
      </w:r>
    </w:p>
    <w:p w:rsidR="00000000" w:rsidDel="00000000" w:rsidP="00000000" w:rsidRDefault="00000000" w:rsidRPr="00000000" w14:paraId="00000082">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rtl w:val="0"/>
        </w:rPr>
      </w:r>
    </w:p>
    <w:p w:rsidR="00000000" w:rsidDel="00000000" w:rsidP="00000000" w:rsidRDefault="00000000" w:rsidRPr="00000000" w14:paraId="00000083">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color w:val="000000"/>
          <w:rtl w:val="0"/>
        </w:rPr>
        <w:t xml:space="preserve">Once the video had been obtained by N.B., the Crown attempted to prevent the accused from using the CCTV footage at trial and, due to the mandatory pre-trial applications,  the complainant then had access to information about the surveillance video contents before trial. This allowed the complainant to tailor her evidence to accommodate what she knew was contained in the video footage.</w:t>
      </w:r>
    </w:p>
    <w:p w:rsidR="00000000" w:rsidDel="00000000" w:rsidP="00000000" w:rsidRDefault="00000000" w:rsidRPr="00000000" w14:paraId="00000084">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rtl w:val="0"/>
        </w:rPr>
      </w:r>
    </w:p>
    <w:p w:rsidR="00000000" w:rsidDel="00000000" w:rsidP="00000000" w:rsidRDefault="00000000" w:rsidRPr="00000000" w14:paraId="00000085">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color w:val="000000"/>
          <w:rtl w:val="0"/>
        </w:rPr>
        <w:t xml:space="preserve">The trial judge pointed out the unfairness of the process, given the police did not take any recorded statements from the complainant and the defence was only provided with written summaries from the investigating officers in disclosure.</w:t>
      </w:r>
    </w:p>
    <w:p w:rsidR="00000000" w:rsidDel="00000000" w:rsidP="00000000" w:rsidRDefault="00000000" w:rsidRPr="00000000" w14:paraId="00000086">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rtl w:val="0"/>
        </w:rPr>
      </w:r>
    </w:p>
    <w:p w:rsidR="00000000" w:rsidDel="00000000" w:rsidP="00000000" w:rsidRDefault="00000000" w:rsidRPr="00000000" w14:paraId="00000087">
      <w:pPr>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720" w:firstLine="0"/>
        <w:jc w:val="both"/>
        <w:rPr>
          <w:color w:val="000000"/>
        </w:rPr>
      </w:pPr>
      <w:r w:rsidDel="00000000" w:rsidR="00000000" w:rsidRPr="00000000">
        <w:rPr>
          <w:color w:val="000000"/>
          <w:rtl w:val="0"/>
        </w:rPr>
        <w:t xml:space="preserve">Contrast the minimal disclosure provided to N.B. with the complainant's access to defence evidence. Because the charges included allegations of sexual assault, N.B. was required by law to screen the admissibility of evidence upon which he intended to rely to defend these charges, including the Jack's Bar video surveillance, pursuant to the screening regime set forth in the </w:t>
      </w:r>
      <w:r w:rsidDel="00000000" w:rsidR="00000000" w:rsidRPr="00000000">
        <w:rPr>
          <w:i w:val="1"/>
          <w:iCs w:val="1"/>
          <w:color w:val="000000"/>
          <w:rtl w:val="0"/>
        </w:rPr>
        <w:t xml:space="preserve">Criminal Code</w:t>
      </w:r>
      <w:r w:rsidDel="00000000" w:rsidR="00000000" w:rsidRPr="00000000">
        <w:rPr>
          <w:color w:val="000000"/>
          <w:rtl w:val="0"/>
        </w:rPr>
        <w:t xml:space="preserve">.</w:t>
      </w:r>
    </w:p>
    <w:p w:rsidR="00000000" w:rsidDel="00000000" w:rsidP="00000000" w:rsidRDefault="00000000" w:rsidRPr="00000000" w14:paraId="00000088">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rtl w:val="0"/>
        </w:rPr>
      </w:r>
    </w:p>
    <w:p w:rsidR="00000000" w:rsidDel="00000000" w:rsidP="00000000" w:rsidRDefault="00000000" w:rsidRPr="00000000" w14:paraId="00000089">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color w:val="000000"/>
          <w:rtl w:val="0"/>
        </w:rPr>
        <w:t xml:space="preserve">The trial judge found that the complainant’s access to the pretrial motion also resulted in her attempt to tailor her trial evidence to accommodate what she had discovered due to her access to pretrial materials.</w:t>
      </w:r>
    </w:p>
    <w:p w:rsidR="00000000" w:rsidDel="00000000" w:rsidP="00000000" w:rsidRDefault="00000000" w:rsidRPr="00000000" w14:paraId="0000008A">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rtl w:val="0"/>
        </w:rPr>
      </w:r>
    </w:p>
    <w:p w:rsidR="00000000" w:rsidDel="00000000" w:rsidP="00000000" w:rsidRDefault="00000000" w:rsidRPr="00000000" w14:paraId="0000008B">
      <w:pPr>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720" w:firstLine="0"/>
        <w:jc w:val="both"/>
        <w:rPr>
          <w:color w:val="000000"/>
        </w:rPr>
      </w:pPr>
      <w:r w:rsidDel="00000000" w:rsidR="00000000" w:rsidRPr="00000000">
        <w:rPr>
          <w:color w:val="000000"/>
          <w:rtl w:val="0"/>
        </w:rPr>
        <w:t xml:space="preserve">As a complainant, H.J. had standing on the defence applications and therefore had access to the defence evidence, including the Jack's Bar video surveillance and text message exchanges. Consequently, H.J. was able to, and did in fact, tailor her trial evidence accordingly.</w:t>
      </w:r>
    </w:p>
    <w:p w:rsidR="00000000" w:rsidDel="00000000" w:rsidP="00000000" w:rsidRDefault="00000000" w:rsidRPr="00000000" w14:paraId="0000008C">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rtl w:val="0"/>
        </w:rPr>
      </w:r>
    </w:p>
    <w:p w:rsidR="00000000" w:rsidDel="00000000" w:rsidP="00000000" w:rsidRDefault="00000000" w:rsidRPr="00000000" w14:paraId="0000008D">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color w:val="000000"/>
          <w:rtl w:val="0"/>
        </w:rPr>
        <w:t xml:space="preserve">In this case, the defence had to work off threadbare notes from the officers because of their failure to record audio or video statements, combined with the complainant’s ability to tailor her evidence after gaining access to the defence strategy in pre-trial motions. </w:t>
      </w:r>
    </w:p>
    <w:p w:rsidR="00000000" w:rsidDel="00000000" w:rsidP="00000000" w:rsidRDefault="00000000" w:rsidRPr="00000000" w14:paraId="0000008E">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rtl w:val="0"/>
        </w:rPr>
      </w:r>
    </w:p>
    <w:p w:rsidR="00000000" w:rsidDel="00000000" w:rsidP="00000000" w:rsidRDefault="00000000" w:rsidRPr="00000000" w14:paraId="0000008F">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color w:val="000000"/>
          <w:rtl w:val="0"/>
        </w:rPr>
        <w:t xml:space="preserve">The trial judge also noted an obligation on the complainant to properly advise of new information prior to trial:</w:t>
      </w:r>
    </w:p>
    <w:p w:rsidR="00000000" w:rsidDel="00000000" w:rsidP="00000000" w:rsidRDefault="00000000" w:rsidRPr="00000000" w14:paraId="00000090">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rtl w:val="0"/>
        </w:rPr>
      </w:r>
    </w:p>
    <w:p w:rsidR="00000000" w:rsidDel="00000000" w:rsidP="00000000" w:rsidRDefault="00000000" w:rsidRPr="00000000" w14:paraId="00000091">
      <w:pPr>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720" w:firstLine="0"/>
        <w:jc w:val="both"/>
        <w:rPr>
          <w:color w:val="000000"/>
        </w:rPr>
      </w:pPr>
      <w:r w:rsidDel="00000000" w:rsidR="00000000" w:rsidRPr="00000000">
        <w:rPr>
          <w:color w:val="000000"/>
          <w:rtl w:val="0"/>
        </w:rPr>
        <w:t xml:space="preserve">The complainant acknowledged having read the typewritten version of her statement she provided to police,</w:t>
      </w:r>
    </w:p>
    <w:p w:rsidR="00000000" w:rsidDel="00000000" w:rsidP="00000000" w:rsidRDefault="00000000" w:rsidRPr="00000000" w14:paraId="00000092">
      <w:pPr>
        <w:pBdr>
          <w:top w:color="auto" w:space="0" w:sz="0" w:val="none"/>
          <w:left w:color="auto" w:space="0" w:sz="0" w:val="none"/>
          <w:bottom w:color="auto" w:space="0" w:sz="0" w:val="none"/>
          <w:right w:color="auto" w:space="0" w:sz="0" w:val="none"/>
          <w:between w:color="auto" w:space="0" w:sz="0" w:val="none"/>
        </w:pBdr>
        <w:shd w:fill="ffffff" w:val="clear"/>
        <w:spacing w:before="0" w:lineRule="auto"/>
        <w:ind w:left="720" w:firstLine="0"/>
        <w:jc w:val="both"/>
        <w:rPr>
          <w:color w:val="000000"/>
        </w:rPr>
      </w:pPr>
      <w:r w:rsidDel="00000000" w:rsidR="00000000" w:rsidRPr="00000000">
        <w:rPr>
          <w:color w:val="000000"/>
          <w:rtl w:val="0"/>
        </w:rPr>
        <w:t xml:space="preserve">before giving her evidence at trial. In my view, H.J. had an obligation to advise Crown counsel prior to trial, that her statement to police was not accurate with respect to the allegation of sexual assault forming count number 4 on the indictment. She said and did nothing.</w:t>
      </w:r>
    </w:p>
    <w:p w:rsidR="00000000" w:rsidDel="00000000" w:rsidP="00000000" w:rsidRDefault="00000000" w:rsidRPr="00000000" w14:paraId="00000093">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rtl w:val="0"/>
        </w:rPr>
      </w:r>
    </w:p>
    <w:p w:rsidR="00000000" w:rsidDel="00000000" w:rsidP="00000000" w:rsidRDefault="00000000" w:rsidRPr="00000000" w14:paraId="00000094">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color w:val="000000"/>
          <w:rtl w:val="0"/>
        </w:rPr>
        <w:t xml:space="preserve">This case serves as a stark reminder of the disparity that currently exists between the rights of an accused and the ability for complainants to abuse the legal system due to the current charging policies and access to pretrial motions.  This case also has significant import as it notes the typical insufficiency of police investigations in sexual assault cases.  Where relevant digital evidence exists, including CCTV and messages, the police rarely exercise their obligation to conduct a thorough investigation and are often deterred by concerns by misdirected policies against invading the privacy of a complainant.</w:t>
      </w:r>
    </w:p>
    <w:p w:rsidR="00000000" w:rsidDel="00000000" w:rsidP="00000000" w:rsidRDefault="00000000" w:rsidRPr="00000000" w14:paraId="00000095">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rtl w:val="0"/>
        </w:rPr>
      </w:r>
    </w:p>
    <w:p w:rsidR="00000000" w:rsidDel="00000000" w:rsidP="00000000" w:rsidRDefault="00000000" w:rsidRPr="00000000" w14:paraId="00000096">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color w:val="000000"/>
          <w:rtl w:val="0"/>
        </w:rPr>
        <w:t xml:space="preserve">If not for the efforts and thoroughness of the defence, crucial evidence may have been lost due to the current policies surrounding sexual assault investigations. </w:t>
      </w:r>
    </w:p>
    <w:p w:rsidR="00000000" w:rsidDel="00000000" w:rsidP="00000000" w:rsidRDefault="00000000" w:rsidRPr="00000000" w14:paraId="00000097">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rtl w:val="0"/>
        </w:rPr>
      </w:r>
    </w:p>
    <w:p w:rsidR="00000000" w:rsidDel="00000000" w:rsidP="00000000" w:rsidRDefault="00000000" w:rsidRPr="00000000" w14:paraId="00000098">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rtl w:val="0"/>
        </w:rPr>
      </w:r>
    </w:p>
    <w:p w:rsidR="00000000" w:rsidDel="00000000" w:rsidP="00000000" w:rsidRDefault="00000000" w:rsidRPr="00000000" w14:paraId="00000099">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rtl w:val="0"/>
        </w:rPr>
      </w:r>
    </w:p>
    <w:p w:rsidR="00000000" w:rsidDel="00000000" w:rsidP="00000000" w:rsidRDefault="00000000" w:rsidRPr="00000000" w14:paraId="0000009A">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rtl w:val="0"/>
        </w:rPr>
      </w:r>
    </w:p>
    <w:p w:rsidR="00000000" w:rsidDel="00000000" w:rsidP="00000000" w:rsidRDefault="00000000" w:rsidRPr="00000000" w14:paraId="0000009B">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rtl w:val="0"/>
        </w:rPr>
      </w:r>
    </w:p>
    <w:p w:rsidR="00000000" w:rsidDel="00000000" w:rsidP="00000000" w:rsidRDefault="00000000" w:rsidRPr="00000000" w14:paraId="0000009C">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rtl w:val="0"/>
        </w:rPr>
      </w:r>
    </w:p>
    <w:p w:rsidR="00000000" w:rsidDel="00000000" w:rsidP="00000000" w:rsidRDefault="00000000" w:rsidRPr="00000000" w14:paraId="0000009D">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rtl w:val="0"/>
        </w:rPr>
      </w:r>
    </w:p>
    <w:p w:rsidR="00000000" w:rsidDel="00000000" w:rsidP="00000000" w:rsidRDefault="00000000" w:rsidRPr="00000000" w14:paraId="0000009E">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rtl w:val="0"/>
        </w:rPr>
      </w:r>
    </w:p>
    <w:p w:rsidR="00000000" w:rsidDel="00000000" w:rsidP="00000000" w:rsidRDefault="00000000" w:rsidRPr="00000000" w14:paraId="0000009F">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rtl w:val="0"/>
        </w:rPr>
      </w:r>
    </w:p>
    <w:p w:rsidR="00000000" w:rsidDel="00000000" w:rsidP="00000000" w:rsidRDefault="00000000" w:rsidRPr="00000000" w14:paraId="000000A0">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rtl w:val="0"/>
        </w:rPr>
      </w:r>
    </w:p>
    <w:p w:rsidR="00000000" w:rsidDel="00000000" w:rsidP="00000000" w:rsidRDefault="00000000" w:rsidRPr="00000000" w14:paraId="000000A1">
      <w:pPr>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rtl w:val="0"/>
        </w:rPr>
      </w:r>
    </w:p>
    <w:p w:rsidR="00000000" w:rsidDel="00000000" w:rsidP="00000000" w:rsidRDefault="00000000" w:rsidRPr="00000000" w14:paraId="000000A2">
      <w:pPr>
        <w:pageBreakBefore w:val="0"/>
        <w:pBdr>
          <w:top w:color="auto" w:space="0" w:sz="0" w:val="none"/>
          <w:left w:color="auto" w:space="0" w:sz="0" w:val="none"/>
          <w:bottom w:color="auto" w:space="0" w:sz="0" w:val="none"/>
          <w:right w:color="auto" w:space="0" w:sz="0" w:val="none"/>
          <w:between w:color="auto" w:space="0" w:sz="0" w:val="none"/>
        </w:pBdr>
        <w:shd w:fill="ffffff" w:val="clear"/>
        <w:spacing w:before="0" w:lineRule="auto"/>
        <w:jc w:val="both"/>
        <w:rPr>
          <w:color w:val="000000"/>
        </w:rPr>
      </w:pPr>
      <w:r w:rsidDel="00000000" w:rsidR="00000000" w:rsidRPr="00000000">
        <w:rPr>
          <w:color w:val="000000"/>
        </w:rPr>
        <w:drawing>
          <wp:inline distB="114300" distT="114300" distL="114300" distR="114300">
            <wp:extent cx="2743200" cy="1485900"/>
            <wp:effectExtent b="0" l="0" r="0" t="0"/>
            <wp:docPr id="3" name="image4.jpg"/>
            <a:graphic>
              <a:graphicData uri="http://schemas.openxmlformats.org/drawingml/2006/picture">
                <pic:pic>
                  <pic:nvPicPr>
                    <pic:cNvPr id="0" name="image4.jpg"/>
                    <pic:cNvPicPr preferRelativeResize="0"/>
                  </pic:nvPicPr>
                  <pic:blipFill>
                    <a:blip r:embed="rId16"/>
                    <a:srcRect b="0" l="0" r="0" t="0"/>
                    <a:stretch>
                      <a:fillRect/>
                    </a:stretch>
                  </pic:blipFill>
                  <pic:spPr>
                    <a:xfrm>
                      <a:off x="0" y="0"/>
                      <a:ext cx="2743200" cy="1485900"/>
                    </a:xfrm>
                    <a:prstGeom prst="rect"/>
                    <a:ln/>
                  </pic:spPr>
                </pic:pic>
              </a:graphicData>
            </a:graphic>
          </wp:inline>
        </w:drawing>
      </w:r>
      <w:r w:rsidDel="00000000" w:rsidR="00000000" w:rsidRPr="00000000">
        <w:rPr>
          <w:rtl w:val="0"/>
        </w:rPr>
      </w:r>
    </w:p>
    <w:p w:rsidR="00000000" w:rsidDel="00000000" w:rsidP="00000000" w:rsidRDefault="00000000" w:rsidRPr="00000000" w14:paraId="000000A3">
      <w:pPr>
        <w:pStyle w:val="Heading2"/>
        <w:pageBreakBefore w:val="0"/>
        <w:spacing w:after="160" w:before="100" w:lineRule="auto"/>
        <w:jc w:val="both"/>
        <w:rPr>
          <w:b w:val="1"/>
          <w:bCs w:val="1"/>
          <w:color w:val="000000"/>
        </w:rPr>
      </w:pPr>
      <w:bookmarkStart w:colFirst="0" w:colLast="0" w:name="_rqy4jv5t1nhv" w:id="8"/>
      <w:bookmarkEnd w:id="8"/>
      <w:r w:rsidDel="00000000" w:rsidR="00000000" w:rsidRPr="00000000">
        <w:rPr>
          <w:color w:val="000000"/>
          <w:rtl w:val="0"/>
        </w:rPr>
        <w:t xml:space="preserve">Other Cases To Watch</w:t>
      </w:r>
      <w:r w:rsidDel="00000000" w:rsidR="00000000" w:rsidRPr="00000000">
        <w:rPr>
          <w:rtl w:val="0"/>
        </w:rPr>
      </w:r>
    </w:p>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spacing w:before="0" w:lineRule="auto"/>
        <w:jc w:val="both"/>
        <w:rPr>
          <w:i w:val="1"/>
          <w:iCs w:val="1"/>
          <w:color w:val="000000"/>
          <w:sz w:val="24"/>
          <w:szCs w:val="24"/>
        </w:rPr>
      </w:pPr>
      <w:r w:rsidDel="00000000" w:rsidR="00000000" w:rsidRPr="00000000">
        <w:rPr>
          <w:i w:val="1"/>
          <w:iCs w:val="1"/>
          <w:color w:val="000000"/>
          <w:sz w:val="24"/>
          <w:szCs w:val="24"/>
          <w:rtl w:val="0"/>
        </w:rPr>
        <w:t xml:space="preserve">Jordan Bilinski v. His Majesty the King</w:t>
      </w:r>
    </w:p>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spacing w:before="0" w:lineRule="auto"/>
        <w:jc w:val="both"/>
        <w:rPr>
          <w:color w:val="000000"/>
          <w:sz w:val="24"/>
          <w:szCs w:val="24"/>
        </w:rPr>
      </w:pPr>
      <w:r w:rsidDel="00000000" w:rsidR="00000000" w:rsidRPr="00000000">
        <w:rPr>
          <w:color w:val="000000"/>
          <w:sz w:val="24"/>
          <w:szCs w:val="24"/>
          <w:rtl w:val="0"/>
        </w:rPr>
        <w:t xml:space="preserve">File # 42030</w:t>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spacing w:before="0" w:lineRule="auto"/>
        <w:jc w:val="both"/>
        <w:rPr>
          <w:color w:val="000000"/>
          <w:sz w:val="24"/>
          <w:szCs w:val="24"/>
        </w:rPr>
      </w:pPr>
      <w:r w:rsidDel="00000000" w:rsidR="00000000" w:rsidRPr="00000000">
        <w:rPr>
          <w:color w:val="000000"/>
          <w:sz w:val="24"/>
          <w:szCs w:val="24"/>
          <w:rtl w:val="0"/>
        </w:rPr>
        <w:t xml:space="preserve">Crown appeal. Whether </w:t>
      </w:r>
      <w:r w:rsidDel="00000000" w:rsidR="00000000" w:rsidRPr="00000000">
        <w:rPr>
          <w:i w:val="1"/>
          <w:iCs w:val="1"/>
          <w:color w:val="000000"/>
          <w:sz w:val="24"/>
          <w:szCs w:val="24"/>
          <w:rtl w:val="0"/>
        </w:rPr>
        <w:t xml:space="preserve">Kirkpatrick</w:t>
      </w:r>
      <w:r w:rsidDel="00000000" w:rsidR="00000000" w:rsidRPr="00000000">
        <w:rPr>
          <w:color w:val="000000"/>
          <w:sz w:val="24"/>
          <w:szCs w:val="24"/>
          <w:rtl w:val="0"/>
        </w:rPr>
        <w:t xml:space="preserve"> is an “unworkable precedent” regarding condom usage.</w:t>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spacing w:before="0" w:lineRule="auto"/>
        <w:jc w:val="both"/>
        <w:rPr>
          <w:color w:val="000000"/>
          <w:sz w:val="24"/>
          <w:szCs w:val="24"/>
        </w:rPr>
      </w:pPr>
      <w:r w:rsidDel="00000000" w:rsidR="00000000" w:rsidRPr="00000000">
        <w:rPr>
          <w:rtl w:val="0"/>
        </w:rPr>
      </w:r>
    </w:p>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spacing w:before="0" w:lineRule="auto"/>
        <w:jc w:val="both"/>
        <w:rPr>
          <w:i w:val="1"/>
          <w:iCs w:val="1"/>
          <w:color w:val="000000"/>
          <w:sz w:val="24"/>
          <w:szCs w:val="24"/>
        </w:rPr>
      </w:pPr>
      <w:r w:rsidDel="00000000" w:rsidR="00000000" w:rsidRPr="00000000">
        <w:rPr>
          <w:i w:val="1"/>
          <w:iCs w:val="1"/>
          <w:color w:val="000000"/>
          <w:sz w:val="24"/>
          <w:szCs w:val="24"/>
          <w:rtl w:val="0"/>
        </w:rPr>
        <w:t xml:space="preserve">His Majesty the King v. A.M., et al.</w:t>
      </w:r>
    </w:p>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spacing w:before="0" w:lineRule="auto"/>
        <w:jc w:val="both"/>
        <w:rPr>
          <w:color w:val="000000"/>
          <w:sz w:val="24"/>
          <w:szCs w:val="24"/>
        </w:rPr>
      </w:pPr>
      <w:r w:rsidDel="00000000" w:rsidR="00000000" w:rsidRPr="00000000">
        <w:rPr>
          <w:color w:val="000000"/>
          <w:sz w:val="24"/>
          <w:szCs w:val="24"/>
          <w:rtl w:val="0"/>
        </w:rPr>
        <w:t xml:space="preserve">File# 41528</w:t>
      </w:r>
    </w:p>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spacing w:before="0" w:lineRule="auto"/>
        <w:jc w:val="both"/>
        <w:rPr>
          <w:color w:val="000000"/>
          <w:sz w:val="24"/>
          <w:szCs w:val="24"/>
        </w:rPr>
      </w:pPr>
      <w:r w:rsidDel="00000000" w:rsidR="00000000" w:rsidRPr="00000000">
        <w:rPr>
          <w:color w:val="000000"/>
          <w:sz w:val="24"/>
          <w:szCs w:val="24"/>
          <w:rtl w:val="0"/>
        </w:rPr>
        <w:t xml:space="preserve">Application of s.276 to human trafficking charges.</w:t>
      </w:r>
    </w:p>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spacing w:before="0" w:lineRule="auto"/>
        <w:jc w:val="both"/>
        <w:rPr>
          <w:color w:val="000000"/>
          <w:sz w:val="24"/>
          <w:szCs w:val="24"/>
        </w:rPr>
      </w:pPr>
      <w:r w:rsidDel="00000000" w:rsidR="00000000" w:rsidRPr="00000000">
        <w:rPr>
          <w:rtl w:val="0"/>
        </w:rPr>
      </w:r>
    </w:p>
    <w:p w:rsidR="00000000" w:rsidDel="00000000" w:rsidP="00000000" w:rsidRDefault="00000000" w:rsidRPr="00000000" w14:paraId="000000AC">
      <w:pPr>
        <w:pageBreakBefore w:val="0"/>
        <w:pBdr>
          <w:top w:space="0" w:sz="0" w:val="nil"/>
          <w:left w:space="0" w:sz="0" w:val="nil"/>
          <w:bottom w:space="0" w:sz="0" w:val="nil"/>
          <w:right w:space="0" w:sz="0" w:val="nil"/>
          <w:between w:space="0" w:sz="0" w:val="nil"/>
        </w:pBdr>
        <w:shd w:fill="auto" w:val="clear"/>
        <w:spacing w:before="0" w:lineRule="auto"/>
        <w:jc w:val="both"/>
        <w:rPr>
          <w:i w:val="1"/>
          <w:iCs w:val="1"/>
          <w:color w:val="000000"/>
          <w:sz w:val="24"/>
          <w:szCs w:val="24"/>
        </w:rPr>
      </w:pPr>
      <w:r w:rsidDel="00000000" w:rsidR="00000000" w:rsidRPr="00000000">
        <w:rPr>
          <w:i w:val="1"/>
          <w:iCs w:val="1"/>
          <w:color w:val="000000"/>
          <w:sz w:val="24"/>
          <w:szCs w:val="24"/>
          <w:rtl w:val="0"/>
        </w:rPr>
        <w:t xml:space="preserve">Alex Clarke v. His Majesty the King </w:t>
      </w:r>
    </w:p>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spacing w:before="0" w:lineRule="auto"/>
        <w:jc w:val="both"/>
        <w:rPr>
          <w:color w:val="000000"/>
          <w:sz w:val="24"/>
          <w:szCs w:val="24"/>
        </w:rPr>
      </w:pPr>
      <w:r w:rsidDel="00000000" w:rsidR="00000000" w:rsidRPr="00000000">
        <w:rPr>
          <w:i w:val="1"/>
          <w:iCs w:val="1"/>
          <w:color w:val="000000"/>
          <w:sz w:val="24"/>
          <w:szCs w:val="24"/>
          <w:rtl w:val="0"/>
        </w:rPr>
        <w:t xml:space="preserve">File# </w:t>
      </w:r>
      <w:r w:rsidDel="00000000" w:rsidR="00000000" w:rsidRPr="00000000">
        <w:rPr>
          <w:color w:val="000000"/>
          <w:sz w:val="24"/>
          <w:szCs w:val="24"/>
          <w:rtl w:val="0"/>
        </w:rPr>
        <w:t xml:space="preserve">42291</w:t>
      </w:r>
    </w:p>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spacing w:before="0" w:lineRule="auto"/>
        <w:jc w:val="both"/>
        <w:rPr>
          <w:color w:val="000000"/>
          <w:sz w:val="24"/>
          <w:szCs w:val="24"/>
        </w:rPr>
      </w:pPr>
      <w:r w:rsidDel="00000000" w:rsidR="00000000" w:rsidRPr="00000000">
        <w:rPr>
          <w:color w:val="000000"/>
          <w:sz w:val="24"/>
          <w:szCs w:val="24"/>
          <w:rtl w:val="0"/>
        </w:rPr>
        <w:t xml:space="preserve">Whether the accused's evidence was rejected due to myths and stereotypes in preference for the complainant’s evidence.</w:t>
      </w:r>
    </w:p>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spacing w:before="0" w:lineRule="auto"/>
        <w:jc w:val="both"/>
        <w:rPr>
          <w:b w:val="1"/>
          <w:bCs w:val="1"/>
          <w:color w:val="000000"/>
          <w:sz w:val="24"/>
          <w:szCs w:val="24"/>
        </w:rPr>
      </w:pPr>
      <w:r w:rsidDel="00000000" w:rsidR="00000000" w:rsidRPr="00000000">
        <w:rPr>
          <w:rtl w:val="0"/>
        </w:rPr>
      </w:r>
    </w:p>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spacing w:before="0" w:lineRule="auto"/>
        <w:jc w:val="both"/>
        <w:rPr>
          <w:b w:val="1"/>
          <w:bCs w:val="1"/>
          <w:color w:val="000000"/>
          <w:sz w:val="24"/>
          <w:szCs w:val="24"/>
        </w:rPr>
      </w:pPr>
      <w:r w:rsidDel="00000000" w:rsidR="00000000" w:rsidRPr="00000000">
        <w:rPr>
          <w:b w:val="1"/>
          <w:bCs w:val="1"/>
          <w:color w:val="000000"/>
          <w:sz w:val="24"/>
          <w:szCs w:val="24"/>
          <w:rtl w:val="0"/>
        </w:rPr>
        <w:t xml:space="preserve">Contributors:</w:t>
      </w:r>
    </w:p>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spacing w:before="0" w:lineRule="auto"/>
        <w:jc w:val="both"/>
        <w:rPr>
          <w:color w:val="000000"/>
          <w:sz w:val="24"/>
          <w:szCs w:val="24"/>
        </w:rPr>
      </w:pPr>
      <w:r w:rsidDel="00000000" w:rsidR="00000000" w:rsidRPr="00000000">
        <w:rPr>
          <w:color w:val="000000"/>
          <w:sz w:val="24"/>
          <w:szCs w:val="24"/>
          <w:rtl w:val="0"/>
        </w:rPr>
        <w:t xml:space="preserve">Joseph A. Neuberger, LL.B, LL.M., C.S.</w:t>
      </w:r>
    </w:p>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spacing w:before="0" w:lineRule="auto"/>
        <w:jc w:val="both"/>
        <w:rPr>
          <w:color w:val="000000"/>
          <w:sz w:val="24"/>
          <w:szCs w:val="24"/>
        </w:rPr>
      </w:pPr>
      <w:r w:rsidDel="00000000" w:rsidR="00000000" w:rsidRPr="00000000">
        <w:rPr>
          <w:color w:val="000000"/>
          <w:sz w:val="24"/>
          <w:szCs w:val="24"/>
          <w:rtl w:val="0"/>
        </w:rPr>
        <w:t xml:space="preserve">Diana Davison, Legal Researcher</w:t>
      </w:r>
    </w:p>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spacing w:before="0" w:lineRule="auto"/>
        <w:jc w:val="both"/>
        <w:rPr>
          <w:color w:val="000000"/>
          <w:sz w:val="24"/>
          <w:szCs w:val="24"/>
        </w:rPr>
      </w:pPr>
      <w:r w:rsidDel="00000000" w:rsidR="00000000" w:rsidRPr="00000000">
        <w:rPr>
          <w:rtl w:val="0"/>
        </w:rPr>
      </w:r>
    </w:p>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spacing w:before="0" w:lineRule="auto"/>
        <w:jc w:val="both"/>
        <w:rPr>
          <w:color w:val="000000"/>
          <w:sz w:val="24"/>
          <w:szCs w:val="24"/>
        </w:rPr>
      </w:pPr>
      <w:r w:rsidDel="00000000" w:rsidR="00000000" w:rsidRPr="00000000">
        <w:rPr>
          <w:rtl w:val="0"/>
        </w:rPr>
      </w:r>
    </w:p>
    <w:sectPr>
      <w:footerReference r:id="rId17" w:type="default"/>
      <w:type w:val="continuous"/>
      <w:pgSz w:h="15840" w:w="12240" w:orient="portrait"/>
      <w:pgMar w:bottom="1008" w:top="1008" w:left="1440" w:right="1440" w:header="0" w:footer="720"/>
      <w:cols w:equalWidth="0" w:num="2">
        <w:col w:space="720" w:w="4320"/>
        <w:col w:space="0" w:w="43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Libre Franklin">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Yanone Kaffeesatz">
    <w:embedRegular w:fontKey="{00000000-0000-0000-0000-000000000000}" r:id="rId5" w:subsetted="0"/>
    <w:embedBold w:fontKey="{00000000-0000-0000-0000-000000000000}" r:id="rId6" w:subsetted="0"/>
  </w:font>
  <w:font w:name="Source Sans Pro"/>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spacing w:line="240" w:lineRule="auto"/>
      <w:ind w:left="-1440" w:right="-1005" w:firstLine="0"/>
      <w:rPr>
        <w:sz w:val="14"/>
        <w:szCs w:val="14"/>
      </w:rPr>
    </w:pPr>
    <w:r w:rsidDel="00000000" w:rsidR="00000000" w:rsidRPr="00000000">
      <w:rPr>
        <w:rtl w:val="0"/>
      </w:rPr>
    </w:r>
  </w:p>
  <w:tbl>
    <w:tblPr>
      <w:tblStyle w:val="Table1"/>
      <w:tblW w:w="12225.0" w:type="dxa"/>
      <w:jc w:val="left"/>
      <w:tblInd w:w="-1440.0" w:type="dxa"/>
      <w:tblBorders>
        <w:top w:color="5e2b97" w:space="0" w:sz="8" w:val="single"/>
        <w:left w:color="5e2b97" w:space="0" w:sz="8" w:val="single"/>
        <w:bottom w:color="5e2b97" w:space="0" w:sz="8" w:val="single"/>
        <w:right w:color="5e2b97" w:space="0" w:sz="8" w:val="single"/>
        <w:insideH w:color="5e2b97" w:space="0" w:sz="8" w:val="single"/>
        <w:insideV w:color="5e2b97" w:space="0" w:sz="8" w:val="single"/>
      </w:tblBorders>
      <w:tblLayout w:type="fixed"/>
      <w:tblLook w:val="0600"/>
    </w:tblPr>
    <w:tblGrid>
      <w:gridCol w:w="12225"/>
      <w:tblGridChange w:id="0">
        <w:tblGrid>
          <w:gridCol w:w="12225"/>
        </w:tblGrid>
      </w:tblGridChange>
    </w:tblGrid>
    <w:tr>
      <w:trPr>
        <w:cantSplit w:val="0"/>
        <w:trHeight w:val="660" w:hRule="atLeast"/>
        <w:tblHeader w:val="0"/>
      </w:trPr>
      <w:tc>
        <w:tcPr>
          <w:tcBorders>
            <w:top w:color="000033" w:space="0" w:sz="8" w:val="single"/>
            <w:left w:color="000033" w:space="0" w:sz="8" w:val="single"/>
            <w:bottom w:color="000033" w:space="0" w:sz="8" w:val="single"/>
            <w:right w:color="000033" w:space="0" w:sz="8" w:val="single"/>
          </w:tcBorders>
          <w:shd w:fill="0033cc" w:val="clear"/>
          <w:tcMar>
            <w:top w:w="100.0" w:type="dxa"/>
            <w:left w:w="100.0" w:type="dxa"/>
            <w:bottom w:w="100.0" w:type="dxa"/>
            <w:right w:w="100.0" w:type="dxa"/>
          </w:tcMar>
          <w:vAlign w:val="center"/>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5" w:right="0" w:firstLine="0"/>
            <w:jc w:val="center"/>
            <w:rPr>
              <w:color w:val="ffffff"/>
              <w:sz w:val="28"/>
              <w:szCs w:val="28"/>
            </w:rPr>
          </w:pPr>
          <w:r w:rsidDel="00000000" w:rsidR="00000000" w:rsidRPr="00000000">
            <w:rPr>
              <w:color w:val="ffffff"/>
              <w:sz w:val="28"/>
              <w:szCs w:val="2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spacing w:line="240" w:lineRule="auto"/>
      <w:ind w:left="-1440" w:right="-1005" w:firstLine="0"/>
      <w:rPr>
        <w:sz w:val="12"/>
        <w:szCs w:val="12"/>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spacing w:before="0" w:line="240" w:lineRule="auto"/>
      <w:ind w:left="-1440" w:right="-1005" w:firstLine="0"/>
      <w:rPr>
        <w:sz w:val="12"/>
        <w:szCs w:val="12"/>
      </w:rPr>
    </w:pPr>
    <w:r w:rsidDel="00000000" w:rsidR="00000000" w:rsidRPr="00000000">
      <w:rPr>
        <w:rtl w:val="0"/>
      </w:rPr>
    </w:r>
  </w:p>
  <w:tbl>
    <w:tblPr>
      <w:tblStyle w:val="Table2"/>
      <w:tblW w:w="12225.0" w:type="dxa"/>
      <w:jc w:val="left"/>
      <w:tblInd w:w="-1440.0" w:type="dxa"/>
      <w:tblBorders>
        <w:top w:color="5e2b97" w:space="0" w:sz="8" w:val="single"/>
        <w:left w:color="5e2b97" w:space="0" w:sz="8" w:val="single"/>
        <w:bottom w:color="5e2b97" w:space="0" w:sz="8" w:val="single"/>
        <w:right w:color="5e2b97" w:space="0" w:sz="8" w:val="single"/>
        <w:insideH w:color="5e2b97" w:space="0" w:sz="8" w:val="single"/>
        <w:insideV w:color="5e2b97" w:space="0" w:sz="8" w:val="single"/>
      </w:tblBorders>
      <w:tblLayout w:type="fixed"/>
      <w:tblLook w:val="0600"/>
    </w:tblPr>
    <w:tblGrid>
      <w:gridCol w:w="12225"/>
      <w:tblGridChange w:id="0">
        <w:tblGrid>
          <w:gridCol w:w="12225"/>
        </w:tblGrid>
      </w:tblGridChange>
    </w:tblGrid>
    <w:tr>
      <w:trPr>
        <w:cantSplit w:val="0"/>
        <w:trHeight w:val="660" w:hRule="atLeast"/>
        <w:tblHeader w:val="0"/>
      </w:trPr>
      <w:tc>
        <w:tcPr>
          <w:tcBorders>
            <w:top w:color="000033" w:space="0" w:sz="8" w:val="single"/>
            <w:left w:color="000033" w:space="0" w:sz="8" w:val="single"/>
            <w:bottom w:color="000033" w:space="0" w:sz="8" w:val="single"/>
            <w:right w:color="000033" w:space="0" w:sz="8" w:val="single"/>
          </w:tcBorders>
          <w:shd w:fill="0033cc" w:val="clear"/>
          <w:tcMar>
            <w:top w:w="100.0" w:type="dxa"/>
            <w:left w:w="100.0" w:type="dxa"/>
            <w:bottom w:w="100.0" w:type="dxa"/>
            <w:right w:w="100.0" w:type="dxa"/>
          </w:tcMar>
          <w:vAlign w:val="center"/>
        </w:tcPr>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spacing w:before="0" w:lineRule="auto"/>
            <w:ind w:left="75" w:firstLine="0"/>
            <w:jc w:val="center"/>
            <w:rPr>
              <w:color w:val="ffffff"/>
            </w:rPr>
          </w:pPr>
          <w:r w:rsidDel="00000000" w:rsidR="00000000" w:rsidRPr="00000000">
            <w:rPr>
              <w:color w:val="ffffff"/>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spacing w:before="0" w:line="240" w:lineRule="auto"/>
      <w:ind w:left="-1440" w:right="-1005" w:firstLine="0"/>
      <w:rPr>
        <w:sz w:val="12"/>
        <w:szCs w:val="12"/>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BA">
    <w:pPr>
      <w:pageBreakBefore w:val="0"/>
      <w:pBdr>
        <w:top w:color="0033cc" w:space="0" w:sz="8" w:val="single"/>
        <w:left w:color="0033cc" w:space="0" w:sz="8" w:val="single"/>
        <w:bottom w:color="0033cc" w:space="0" w:sz="8" w:val="single"/>
        <w:right w:color="0033cc" w:space="0" w:sz="8" w:val="single"/>
        <w:between w:space="0" w:sz="0" w:val="nil"/>
      </w:pBdr>
      <w:shd w:fill="0033cc" w:val="clea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Source Sans Pro" w:cs="Source Sans Pro" w:eastAsia="Source Sans Pro" w:hAnsi="Source Sans Pro"/>
        <w:color w:val="666666"/>
        <w:sz w:val="22"/>
        <w:szCs w:val="22"/>
        <w:lang w:val="en_GB"/>
      </w:rPr>
    </w:rPrDefault>
    <w:pPrDefault>
      <w:pPr>
        <w:spacing w:before="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320" w:line="240" w:lineRule="auto"/>
      <w:ind w:left="-15" w:right="-15" w:firstLine="0"/>
    </w:pPr>
    <w:rPr>
      <w:rFonts w:ascii="Yanone Kaffeesatz" w:cs="Yanone Kaffeesatz" w:eastAsia="Yanone Kaffeesatz" w:hAnsi="Yanone Kaffeesatz"/>
      <w:color w:val="434343"/>
      <w:sz w:val="84"/>
      <w:szCs w:val="84"/>
    </w:rPr>
  </w:style>
  <w:style w:type="paragraph" w:styleId="Heading2">
    <w:name w:val="heading 2"/>
    <w:basedOn w:val="Normal"/>
    <w:next w:val="Normal"/>
    <w:pPr>
      <w:pageBreakBefore w:val="0"/>
      <w:spacing w:before="480" w:lineRule="auto"/>
    </w:pPr>
    <w:rPr>
      <w:b w:val="1"/>
      <w:bCs w:val="1"/>
      <w:color w:val="434343"/>
      <w:sz w:val="32"/>
      <w:szCs w:val="32"/>
    </w:rPr>
  </w:style>
  <w:style w:type="paragraph" w:styleId="Heading3">
    <w:name w:val="heading 3"/>
    <w:basedOn w:val="Normal"/>
    <w:next w:val="Normal"/>
    <w:pPr>
      <w:pageBreakBefore w:val="0"/>
      <w:widowControl w:val="0"/>
      <w:spacing w:line="240" w:lineRule="auto"/>
    </w:pPr>
    <w:rPr>
      <w:rFonts w:ascii="Source Sans Pro" w:cs="Source Sans Pro" w:eastAsia="Source Sans Pro" w:hAnsi="Source Sans Pro"/>
      <w:color w:val="b7b7b7"/>
      <w:sz w:val="20"/>
      <w:szCs w:val="20"/>
    </w:rPr>
  </w:style>
  <w:style w:type="paragraph" w:styleId="Heading4">
    <w:name w:val="heading 4"/>
    <w:basedOn w:val="Normal"/>
    <w:next w:val="Normal"/>
    <w:pPr>
      <w:keepNext w:val="1"/>
      <w:keepLines w:val="1"/>
      <w:pageBreakBefore w:val="0"/>
      <w:spacing w:line="240" w:lineRule="auto"/>
      <w:ind w:left="-15" w:right="-15" w:firstLine="0"/>
    </w:pPr>
    <w:rPr>
      <w:color w:val="ec7b00"/>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pageBreakBefore w:val="0"/>
      <w:spacing w:before="0" w:line="240" w:lineRule="auto"/>
      <w:ind w:left="-15" w:right="-15" w:firstLine="0"/>
    </w:pPr>
    <w:rPr>
      <w:rFonts w:ascii="Yanone Kaffeesatz" w:cs="Yanone Kaffeesatz" w:eastAsia="Yanone Kaffeesatz" w:hAnsi="Yanone Kaffeesatz"/>
      <w:color w:val="5e2b97"/>
      <w:sz w:val="72"/>
      <w:szCs w:val="72"/>
    </w:rPr>
  </w:style>
  <w:style w:type="paragraph" w:styleId="Subtitle">
    <w:name w:val="Subtitle"/>
    <w:basedOn w:val="Normal"/>
    <w:next w:val="Normal"/>
    <w:pPr>
      <w:keepNext w:val="1"/>
      <w:keepLines w:val="1"/>
      <w:pageBreakBefore w:val="0"/>
      <w:spacing w:line="240" w:lineRule="auto"/>
      <w:ind w:left="-15" w:right="-15" w:firstLine="0"/>
    </w:pPr>
    <w:rPr>
      <w:color w:val="ec7b0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image" Target="media/image2.jpg"/><Relationship Id="rId10" Type="http://schemas.openxmlformats.org/officeDocument/2006/relationships/footer" Target="footer2.xml"/><Relationship Id="rId13" Type="http://schemas.openxmlformats.org/officeDocument/2006/relationships/image" Target="media/image6.png"/><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5" Type="http://schemas.openxmlformats.org/officeDocument/2006/relationships/image" Target="media/image7.jpg"/><Relationship Id="rId14" Type="http://schemas.openxmlformats.org/officeDocument/2006/relationships/image" Target="media/image3.png"/><Relationship Id="rId17" Type="http://schemas.openxmlformats.org/officeDocument/2006/relationships/footer" Target="footer1.xml"/><Relationship Id="rId16" Type="http://schemas.openxmlformats.org/officeDocument/2006/relationships/image" Target="media/image4.jpg"/><Relationship Id="rId5" Type="http://schemas.openxmlformats.org/officeDocument/2006/relationships/styles" Target="styles.xml"/><Relationship Id="rId6" Type="http://schemas.openxmlformats.org/officeDocument/2006/relationships/hyperlink" Target="https://nrlawyers.com/" TargetMode="Externa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LibreFranklin-regular.ttf"/><Relationship Id="rId2" Type="http://schemas.openxmlformats.org/officeDocument/2006/relationships/font" Target="fonts/LibreFranklin-bold.ttf"/><Relationship Id="rId3" Type="http://schemas.openxmlformats.org/officeDocument/2006/relationships/font" Target="fonts/LibreFranklin-italic.ttf"/><Relationship Id="rId4" Type="http://schemas.openxmlformats.org/officeDocument/2006/relationships/font" Target="fonts/LibreFranklin-boldItalic.ttf"/><Relationship Id="rId5" Type="http://schemas.openxmlformats.org/officeDocument/2006/relationships/font" Target="fonts/YanoneKaffeesatz-regular.ttf"/><Relationship Id="rId6" Type="http://schemas.openxmlformats.org/officeDocument/2006/relationships/font" Target="fonts/YanoneKaffeesatz-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